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87A1" w14:textId="77777777" w:rsidR="00A21EC9" w:rsidRDefault="00A21EC9" w:rsidP="00A21EC9">
      <w:r>
        <w:rPr>
          <w:noProof/>
          <w:color w:val="A6A6A6" w:themeColor="background1" w:themeShade="A6"/>
          <w:lang w:eastAsia="de-DE"/>
        </w:rPr>
        <w:drawing>
          <wp:inline distT="0" distB="0" distL="0" distR="0" wp14:anchorId="23695DEE" wp14:editId="1C45455C">
            <wp:extent cx="2904324" cy="315623"/>
            <wp:effectExtent l="0" t="0" r="4445" b="1905"/>
            <wp:docPr id="4"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400C27F2" w14:textId="77777777" w:rsidR="00A21EC9" w:rsidRPr="00800BD8" w:rsidRDefault="00A21EC9" w:rsidP="00A21EC9"/>
    <w:p w14:paraId="2D653D84" w14:textId="77777777" w:rsidR="00573E7C" w:rsidRDefault="00573E7C" w:rsidP="00A21EC9">
      <w:pPr>
        <w:tabs>
          <w:tab w:val="left" w:pos="5954"/>
        </w:tabs>
        <w:ind w:right="-7"/>
        <w:rPr>
          <w:rFonts w:ascii="Verdana" w:hAnsi="Verdana"/>
          <w:b/>
          <w:bCs/>
        </w:rPr>
      </w:pPr>
    </w:p>
    <w:p w14:paraId="7404789D" w14:textId="77777777" w:rsidR="00177607" w:rsidRPr="00AC1DC9" w:rsidRDefault="00177607" w:rsidP="00177607">
      <w:pPr>
        <w:spacing w:line="300" w:lineRule="auto"/>
        <w:rPr>
          <w:rFonts w:ascii="Verdana" w:hAnsi="Verdana" w:cstheme="minorHAnsi"/>
          <w:b/>
        </w:rPr>
      </w:pPr>
      <w:r w:rsidRPr="00AC1DC9">
        <w:rPr>
          <w:rFonts w:ascii="Verdana" w:hAnsi="Verdana" w:cstheme="minorHAnsi"/>
          <w:b/>
        </w:rPr>
        <w:t>DIE DEUTSCHE EU-RATSPRÄSIDENTSCHAFT 2020</w:t>
      </w:r>
    </w:p>
    <w:p w14:paraId="6A941AD0" w14:textId="77777777" w:rsidR="00177607" w:rsidRPr="00AC1DC9" w:rsidRDefault="00177607" w:rsidP="00177607">
      <w:pPr>
        <w:spacing w:line="300" w:lineRule="auto"/>
        <w:rPr>
          <w:rFonts w:ascii="Verdana" w:hAnsi="Verdana" w:cstheme="minorHAnsi"/>
          <w:bCs/>
          <w:sz w:val="18"/>
          <w:szCs w:val="18"/>
        </w:rPr>
      </w:pPr>
    </w:p>
    <w:p w14:paraId="4ED5A076" w14:textId="063891E5"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bCs/>
          <w:sz w:val="18"/>
          <w:szCs w:val="18"/>
        </w:rPr>
        <w:t>Die EU-Ratspräsidentschaft, das heißt der Vorsitz im Rat der Europäischen Union,</w:t>
      </w:r>
      <w:r w:rsidRPr="00AC1DC9">
        <w:rPr>
          <w:rFonts w:ascii="Verdana" w:hAnsi="Verdana" w:cstheme="minorHAnsi"/>
          <w:sz w:val="18"/>
          <w:szCs w:val="18"/>
        </w:rPr>
        <w:t xml:space="preserve"> wechselt halbjährlich in einer festgelegten Reihenfolge zwischen den EU-Mitgliedstaaten. Im 2. Halbjahr 2020 übernimmt Deutschland die EU-Ratspräsidentschaft.</w:t>
      </w:r>
    </w:p>
    <w:p w14:paraId="7479B537" w14:textId="77777777" w:rsidR="00177607" w:rsidRPr="00AC1DC9" w:rsidRDefault="00177607" w:rsidP="00177607">
      <w:pPr>
        <w:spacing w:line="300" w:lineRule="auto"/>
        <w:rPr>
          <w:rFonts w:ascii="Verdana" w:hAnsi="Verdana" w:cstheme="minorHAnsi"/>
          <w:sz w:val="18"/>
          <w:szCs w:val="18"/>
        </w:rPr>
      </w:pPr>
    </w:p>
    <w:p w14:paraId="7C2A03D3"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Die EU-Ratspräsidentschaft hat drei Hauptaufgaben:</w:t>
      </w:r>
    </w:p>
    <w:p w14:paraId="72E1B7CD" w14:textId="4BBF6DFB" w:rsidR="00177607" w:rsidRPr="00AC1DC9" w:rsidRDefault="00177607" w:rsidP="00177607">
      <w:pPr>
        <w:pStyle w:val="Listenabsatz"/>
        <w:numPr>
          <w:ilvl w:val="0"/>
          <w:numId w:val="22"/>
        </w:numPr>
        <w:spacing w:line="300" w:lineRule="auto"/>
        <w:rPr>
          <w:rFonts w:ascii="Verdana" w:hAnsi="Verdana" w:cstheme="minorHAnsi"/>
          <w:sz w:val="18"/>
          <w:szCs w:val="18"/>
        </w:rPr>
      </w:pPr>
      <w:r w:rsidRPr="00AC1DC9">
        <w:rPr>
          <w:rFonts w:ascii="Verdana" w:hAnsi="Verdana" w:cstheme="minorHAnsi"/>
          <w:sz w:val="18"/>
          <w:szCs w:val="18"/>
        </w:rPr>
        <w:t>Leitung sowie Moderation der Gipfeltreffen der europäischen Staats- und Regierungschefs und des Ministerrates der Europäischen Union sowie von ca. 200 weiteren EU-Arbeitsgruppen und Ausschüssen</w:t>
      </w:r>
    </w:p>
    <w:p w14:paraId="585520F1" w14:textId="09EB10ED" w:rsidR="00177607" w:rsidRPr="00AC1DC9" w:rsidRDefault="00177607" w:rsidP="00177607">
      <w:pPr>
        <w:pStyle w:val="Listenabsatz"/>
        <w:numPr>
          <w:ilvl w:val="0"/>
          <w:numId w:val="22"/>
        </w:numPr>
        <w:spacing w:line="300" w:lineRule="auto"/>
        <w:rPr>
          <w:rFonts w:ascii="Verdana" w:hAnsi="Verdana" w:cstheme="minorHAnsi"/>
          <w:sz w:val="18"/>
          <w:szCs w:val="18"/>
        </w:rPr>
      </w:pPr>
      <w:r w:rsidRPr="00AC1DC9">
        <w:rPr>
          <w:rFonts w:ascii="Verdana" w:hAnsi="Verdana" w:cstheme="minorHAnsi"/>
          <w:sz w:val="18"/>
          <w:szCs w:val="18"/>
        </w:rPr>
        <w:t>Vertretung der Mitgliedstaaten gegenüber den anderen EU-Institutionen (vor allem gegenüber der Kommission und dem Europäischen Parlament) und</w:t>
      </w:r>
    </w:p>
    <w:p w14:paraId="54DDA5ED" w14:textId="77777777" w:rsidR="00177607" w:rsidRPr="00AC1DC9" w:rsidRDefault="00177607" w:rsidP="00177607">
      <w:pPr>
        <w:pStyle w:val="Listenabsatz"/>
        <w:numPr>
          <w:ilvl w:val="0"/>
          <w:numId w:val="22"/>
        </w:numPr>
        <w:spacing w:line="300" w:lineRule="auto"/>
        <w:rPr>
          <w:rFonts w:ascii="Verdana" w:hAnsi="Verdana" w:cstheme="minorHAnsi"/>
          <w:sz w:val="18"/>
          <w:szCs w:val="18"/>
        </w:rPr>
      </w:pPr>
      <w:r w:rsidRPr="00AC1DC9">
        <w:rPr>
          <w:rFonts w:ascii="Verdana" w:hAnsi="Verdana" w:cstheme="minorHAnsi"/>
          <w:sz w:val="18"/>
          <w:szCs w:val="18"/>
        </w:rPr>
        <w:t xml:space="preserve">Repräsentation der EU (gemeinsam mit der Kommission) auf internationaler Ebene. </w:t>
      </w:r>
    </w:p>
    <w:p w14:paraId="56334FE9" w14:textId="77777777" w:rsidR="00177607" w:rsidRPr="00AC1DC9" w:rsidRDefault="00177607" w:rsidP="00177607">
      <w:pPr>
        <w:spacing w:line="300" w:lineRule="auto"/>
        <w:rPr>
          <w:rFonts w:ascii="Verdana" w:hAnsi="Verdana" w:cstheme="minorHAnsi"/>
          <w:sz w:val="18"/>
          <w:szCs w:val="18"/>
        </w:rPr>
      </w:pPr>
    </w:p>
    <w:p w14:paraId="098D7D2F" w14:textId="19F5064D" w:rsidR="00177607" w:rsidRPr="00AC1DC9" w:rsidRDefault="00177607" w:rsidP="00177607">
      <w:pPr>
        <w:spacing w:line="300" w:lineRule="auto"/>
        <w:rPr>
          <w:rFonts w:ascii="Verdana" w:eastAsia="PMingLiU" w:hAnsi="Verdana" w:cstheme="minorHAnsi"/>
          <w:sz w:val="18"/>
          <w:szCs w:val="18"/>
        </w:rPr>
      </w:pPr>
      <w:r w:rsidRPr="00AC1DC9">
        <w:rPr>
          <w:rFonts w:ascii="Verdana" w:eastAsia="PMingLiU" w:hAnsi="Verdana" w:cstheme="minorHAnsi"/>
          <w:sz w:val="18"/>
          <w:szCs w:val="18"/>
        </w:rPr>
        <w:t xml:space="preserve">Um eine längerfristige Themensetzung zu gewährleisten, bilden jeweils drei Länder, die nacheinander die Präsidentschaft innehaben, eine sogenannte Trio-Präsidentschaft und stimmen sich bei den inhaltlichen Schwerpunkten ab. Deutschland bildet mit Portugal und Slowenien ein Trio. </w:t>
      </w:r>
    </w:p>
    <w:p w14:paraId="140817E5" w14:textId="77777777" w:rsidR="00177607" w:rsidRPr="00AC1DC9" w:rsidRDefault="00177607" w:rsidP="00177607">
      <w:pPr>
        <w:spacing w:line="300" w:lineRule="auto"/>
        <w:rPr>
          <w:rFonts w:ascii="Verdana" w:hAnsi="Verdana" w:cstheme="minorHAnsi"/>
          <w:sz w:val="18"/>
          <w:szCs w:val="18"/>
        </w:rPr>
      </w:pPr>
    </w:p>
    <w:p w14:paraId="158958ED" w14:textId="7A9D556F" w:rsidR="00177607" w:rsidRPr="00AC1DC9" w:rsidRDefault="00177607" w:rsidP="00177607">
      <w:pPr>
        <w:spacing w:line="300" w:lineRule="auto"/>
        <w:rPr>
          <w:rFonts w:ascii="Verdana" w:eastAsia="PMingLiU" w:hAnsi="Verdana" w:cstheme="minorHAnsi"/>
          <w:sz w:val="18"/>
          <w:szCs w:val="18"/>
        </w:rPr>
      </w:pPr>
      <w:r w:rsidRPr="00AC1DC9">
        <w:rPr>
          <w:rFonts w:ascii="Verdana" w:eastAsia="PMingLiU" w:hAnsi="Verdana" w:cstheme="minorHAnsi"/>
          <w:sz w:val="18"/>
          <w:szCs w:val="18"/>
        </w:rPr>
        <w:t xml:space="preserve">Die Federführung für die deutsche Ratspräsidentschaft liegt beim Auswärtigen Amt. </w:t>
      </w:r>
      <w:r>
        <w:rPr>
          <w:rFonts w:ascii="Verdana" w:eastAsia="PMingLiU" w:hAnsi="Verdana" w:cstheme="minorHAnsi"/>
          <w:sz w:val="18"/>
          <w:szCs w:val="18"/>
        </w:rPr>
        <w:br/>
      </w:r>
      <w:r w:rsidRPr="00AC1DC9">
        <w:rPr>
          <w:rFonts w:ascii="Verdana" w:eastAsia="PMingLiU" w:hAnsi="Verdana" w:cstheme="minorHAnsi"/>
          <w:sz w:val="18"/>
          <w:szCs w:val="18"/>
        </w:rPr>
        <w:t>Es bringen aber alle Bundesministerien Themen in das Programm ein. Im ganzen Bundesgebiet sind außerdem offizielle Veranstaltungen geplant.</w:t>
      </w:r>
    </w:p>
    <w:p w14:paraId="5125406E" w14:textId="77777777" w:rsidR="00177607" w:rsidRPr="00AC1DC9" w:rsidRDefault="00177607" w:rsidP="00177607">
      <w:pPr>
        <w:spacing w:line="300" w:lineRule="auto"/>
        <w:jc w:val="both"/>
        <w:rPr>
          <w:rFonts w:ascii="Verdana" w:eastAsia="PMingLiU" w:hAnsi="Verdana" w:cstheme="minorHAnsi"/>
        </w:rPr>
      </w:pPr>
    </w:p>
    <w:p w14:paraId="1D25AEFA" w14:textId="77777777" w:rsidR="00177607" w:rsidRPr="00AC1DC9" w:rsidRDefault="00177607" w:rsidP="00177607">
      <w:pPr>
        <w:spacing w:line="300" w:lineRule="auto"/>
        <w:rPr>
          <w:rFonts w:ascii="Verdana" w:hAnsi="Verdana" w:cstheme="minorHAnsi"/>
          <w:b/>
          <w:sz w:val="18"/>
          <w:szCs w:val="18"/>
        </w:rPr>
      </w:pPr>
      <w:r w:rsidRPr="00AC1DC9">
        <w:rPr>
          <w:rFonts w:ascii="Verdana" w:hAnsi="Verdana" w:cstheme="minorHAnsi"/>
          <w:b/>
          <w:sz w:val="18"/>
          <w:szCs w:val="18"/>
        </w:rPr>
        <w:t>Arbeitsaufträge</w:t>
      </w:r>
    </w:p>
    <w:p w14:paraId="49B67FB1"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 xml:space="preserve">1. Richtig oder falsch? </w:t>
      </w:r>
    </w:p>
    <w:p w14:paraId="794D7F17" w14:textId="77777777" w:rsidR="00177607" w:rsidRPr="00AC1DC9" w:rsidRDefault="00177607" w:rsidP="00177607">
      <w:pPr>
        <w:spacing w:line="300" w:lineRule="auto"/>
        <w:rPr>
          <w:rFonts w:ascii="Verdana" w:hAnsi="Verdana" w:cstheme="minorHAnsi"/>
          <w:sz w:val="18"/>
          <w:szCs w:val="18"/>
        </w:rPr>
      </w:pPr>
    </w:p>
    <w:tbl>
      <w:tblPr>
        <w:tblStyle w:val="Tabellenraster"/>
        <w:tblW w:w="9066" w:type="dxa"/>
        <w:tblLook w:val="04A0" w:firstRow="1" w:lastRow="0" w:firstColumn="1" w:lastColumn="0" w:noHBand="0" w:noVBand="1"/>
      </w:tblPr>
      <w:tblGrid>
        <w:gridCol w:w="6232"/>
        <w:gridCol w:w="1417"/>
        <w:gridCol w:w="1417"/>
      </w:tblGrid>
      <w:tr w:rsidR="00177607" w:rsidRPr="00AC1DC9" w14:paraId="48F26D2A" w14:textId="77777777" w:rsidTr="00177607">
        <w:trPr>
          <w:trHeight w:val="680"/>
        </w:trPr>
        <w:tc>
          <w:tcPr>
            <w:tcW w:w="6232" w:type="dxa"/>
          </w:tcPr>
          <w:p w14:paraId="2D1194BC" w14:textId="77777777" w:rsidR="00177607" w:rsidRPr="00AC1DC9" w:rsidRDefault="00177607" w:rsidP="00646D81">
            <w:pPr>
              <w:spacing w:line="300" w:lineRule="auto"/>
              <w:rPr>
                <w:rFonts w:ascii="Verdana" w:hAnsi="Verdana" w:cstheme="minorHAnsi"/>
                <w:sz w:val="18"/>
                <w:szCs w:val="18"/>
              </w:rPr>
            </w:pPr>
          </w:p>
        </w:tc>
        <w:tc>
          <w:tcPr>
            <w:tcW w:w="1417" w:type="dxa"/>
            <w:vAlign w:val="center"/>
          </w:tcPr>
          <w:p w14:paraId="1683C20C"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richtig</w:t>
            </w:r>
          </w:p>
        </w:tc>
        <w:tc>
          <w:tcPr>
            <w:tcW w:w="1417" w:type="dxa"/>
            <w:vAlign w:val="center"/>
          </w:tcPr>
          <w:p w14:paraId="57B8005A"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falsch</w:t>
            </w:r>
          </w:p>
        </w:tc>
      </w:tr>
      <w:tr w:rsidR="00177607" w:rsidRPr="00AC1DC9" w14:paraId="6E5C24FB" w14:textId="77777777" w:rsidTr="00177607">
        <w:trPr>
          <w:trHeight w:val="680"/>
        </w:trPr>
        <w:tc>
          <w:tcPr>
            <w:tcW w:w="6232" w:type="dxa"/>
            <w:vAlign w:val="center"/>
          </w:tcPr>
          <w:p w14:paraId="1752B063"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Drei Mitgliedstaaten der EU bilden bei der Präsidentschaft jeweils ein Trio.</w:t>
            </w:r>
          </w:p>
        </w:tc>
        <w:tc>
          <w:tcPr>
            <w:tcW w:w="1417" w:type="dxa"/>
          </w:tcPr>
          <w:p w14:paraId="5A458E6B"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39759183"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31AEDF88" w14:textId="77777777" w:rsidTr="00177607">
        <w:trPr>
          <w:trHeight w:val="680"/>
        </w:trPr>
        <w:tc>
          <w:tcPr>
            <w:tcW w:w="6232" w:type="dxa"/>
            <w:vAlign w:val="center"/>
          </w:tcPr>
          <w:p w14:paraId="60039B95"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Federführung für die deutsche EU-Ratspräsidentschaft liegt im Bundeskanzleramt.</w:t>
            </w:r>
          </w:p>
        </w:tc>
        <w:tc>
          <w:tcPr>
            <w:tcW w:w="1417" w:type="dxa"/>
          </w:tcPr>
          <w:p w14:paraId="05747A46"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60838C6B"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17A9B6E8" w14:textId="77777777" w:rsidTr="00177607">
        <w:trPr>
          <w:trHeight w:val="680"/>
        </w:trPr>
        <w:tc>
          <w:tcPr>
            <w:tcW w:w="6232" w:type="dxa"/>
            <w:vAlign w:val="center"/>
          </w:tcPr>
          <w:p w14:paraId="1CC22526"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EU-Ratspräsidentschaft wechselt dreimal im Jahr.</w:t>
            </w:r>
          </w:p>
        </w:tc>
        <w:tc>
          <w:tcPr>
            <w:tcW w:w="1417" w:type="dxa"/>
          </w:tcPr>
          <w:p w14:paraId="5F17D3E2"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30285DF8"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24117056" w14:textId="77777777" w:rsidTr="00177607">
        <w:trPr>
          <w:trHeight w:val="680"/>
        </w:trPr>
        <w:tc>
          <w:tcPr>
            <w:tcW w:w="6232" w:type="dxa"/>
            <w:vAlign w:val="center"/>
          </w:tcPr>
          <w:p w14:paraId="64DAA484"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EU-Ratspräsidentschaft vertritt die Mitgliedstaaten gegenüber dem Europäischen Parlament.</w:t>
            </w:r>
          </w:p>
        </w:tc>
        <w:tc>
          <w:tcPr>
            <w:tcW w:w="1417" w:type="dxa"/>
          </w:tcPr>
          <w:p w14:paraId="32E64BAC"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47F1D8A8"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4A25662C" w14:textId="77777777" w:rsidTr="00177607">
        <w:trPr>
          <w:trHeight w:val="680"/>
        </w:trPr>
        <w:tc>
          <w:tcPr>
            <w:tcW w:w="6232" w:type="dxa"/>
            <w:vAlign w:val="center"/>
          </w:tcPr>
          <w:p w14:paraId="4C0F5BC6"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Das Programm Deutschlands für die EU-Ratspräsidentschaft umfasst nur Wirtschafts- und Umweltpolitik.</w:t>
            </w:r>
          </w:p>
        </w:tc>
        <w:tc>
          <w:tcPr>
            <w:tcW w:w="1417" w:type="dxa"/>
          </w:tcPr>
          <w:p w14:paraId="04408E2E"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3B9B269F" w14:textId="77777777" w:rsidR="00177607" w:rsidRPr="00AC1DC9" w:rsidRDefault="00177607" w:rsidP="00646D81">
            <w:pPr>
              <w:spacing w:line="300" w:lineRule="auto"/>
              <w:jc w:val="center"/>
              <w:rPr>
                <w:rFonts w:ascii="Verdana" w:hAnsi="Verdana" w:cstheme="minorHAnsi"/>
                <w:sz w:val="18"/>
                <w:szCs w:val="18"/>
              </w:rPr>
            </w:pPr>
          </w:p>
        </w:tc>
      </w:tr>
    </w:tbl>
    <w:p w14:paraId="17CD799B" w14:textId="77777777" w:rsidR="00177607" w:rsidRPr="00AC1DC9" w:rsidRDefault="00177607" w:rsidP="00177607">
      <w:pPr>
        <w:spacing w:line="300" w:lineRule="auto"/>
        <w:rPr>
          <w:rFonts w:ascii="Verdana" w:hAnsi="Verdana" w:cstheme="minorHAnsi"/>
          <w:sz w:val="18"/>
          <w:szCs w:val="18"/>
        </w:rPr>
      </w:pPr>
    </w:p>
    <w:p w14:paraId="40BEFE0F" w14:textId="77777777" w:rsidR="00177607" w:rsidRPr="00AC1DC9" w:rsidRDefault="00177607" w:rsidP="00177607">
      <w:pPr>
        <w:spacing w:line="300" w:lineRule="auto"/>
        <w:rPr>
          <w:rFonts w:ascii="Verdana" w:hAnsi="Verdana" w:cstheme="minorHAnsi"/>
          <w:b/>
          <w:sz w:val="18"/>
          <w:szCs w:val="18"/>
        </w:rPr>
      </w:pPr>
      <w:r w:rsidRPr="00AC1DC9">
        <w:rPr>
          <w:rFonts w:ascii="Verdana" w:hAnsi="Verdana" w:cstheme="minorHAnsi"/>
          <w:sz w:val="18"/>
          <w:szCs w:val="18"/>
        </w:rPr>
        <w:t>2. Wählen Sie einen der drei arbeits- und sozialpolitischen Schwerpunkte der deutschen EU-Ratspräsidentschaft aus. Welche Ziele verfolgt Deutschland? Diskutieren Sie, welche Auswirkungen eine Umsetzung dieser Ziele hätte. Beziehen Sie die Perspektiven von Unternehmen, Arbeitnehmer*innen bzw. Selbstständigen und Konsument*innen in Ihre Diskussion ein. Denken Sie an Auswirkungen in Deutschland, in der EU und in der Welt.</w:t>
      </w:r>
    </w:p>
    <w:p w14:paraId="7A255B9D" w14:textId="77777777" w:rsidR="00177607" w:rsidRPr="00AC1DC9" w:rsidRDefault="00177607" w:rsidP="00177607">
      <w:pPr>
        <w:spacing w:line="300" w:lineRule="auto"/>
        <w:rPr>
          <w:rFonts w:ascii="Verdana" w:eastAsia="PMingLiU" w:hAnsi="Verdana" w:cstheme="minorHAnsi"/>
          <w:sz w:val="18"/>
          <w:szCs w:val="18"/>
        </w:rPr>
      </w:pPr>
      <w:r w:rsidRPr="00AC1DC9">
        <w:rPr>
          <w:rFonts w:ascii="Verdana" w:eastAsia="PMingLiU" w:hAnsi="Verdana" w:cstheme="minorHAnsi"/>
          <w:sz w:val="18"/>
          <w:szCs w:val="18"/>
        </w:rPr>
        <w:t xml:space="preserve"> </w:t>
      </w:r>
    </w:p>
    <w:p w14:paraId="4B91A45A" w14:textId="00E37AB0" w:rsidR="00573E7C" w:rsidRDefault="00573E7C" w:rsidP="00573E7C">
      <w:pPr>
        <w:rPr>
          <w:rFonts w:ascii="Verdana" w:hAnsi="Verdana"/>
          <w:color w:val="000000"/>
          <w:sz w:val="18"/>
          <w:szCs w:val="18"/>
        </w:rPr>
      </w:pPr>
    </w:p>
    <w:p w14:paraId="4CC7A57D" w14:textId="77777777" w:rsidR="00666354" w:rsidRDefault="00666354">
      <w:pPr>
        <w:rPr>
          <w:rFonts w:ascii="Verdana" w:eastAsia="Times New Roman" w:hAnsi="Verdana" w:cs="Times New Roman"/>
          <w:b/>
          <w:sz w:val="20"/>
          <w:szCs w:val="18"/>
          <w:lang w:eastAsia="de-DE"/>
        </w:rPr>
      </w:pPr>
      <w:r>
        <w:rPr>
          <w:rFonts w:ascii="Verdana" w:hAnsi="Verdana"/>
          <w:b/>
          <w:sz w:val="20"/>
          <w:szCs w:val="18"/>
        </w:rPr>
        <w:br w:type="page"/>
      </w:r>
    </w:p>
    <w:p w14:paraId="63C3C89C" w14:textId="77777777" w:rsidR="00F72A6C" w:rsidRDefault="00F72A6C" w:rsidP="00177607">
      <w:pPr>
        <w:spacing w:line="300" w:lineRule="auto"/>
        <w:rPr>
          <w:rFonts w:ascii="Verdana" w:hAnsi="Verdana" w:cstheme="minorHAnsi"/>
          <w:b/>
          <w:sz w:val="18"/>
          <w:szCs w:val="18"/>
        </w:rPr>
      </w:pPr>
    </w:p>
    <w:p w14:paraId="566B0AE9" w14:textId="38A3175B" w:rsidR="00177607" w:rsidRPr="00AC1DC9" w:rsidRDefault="00177607" w:rsidP="00177607">
      <w:pPr>
        <w:spacing w:line="300" w:lineRule="auto"/>
        <w:rPr>
          <w:rFonts w:ascii="Verdana" w:hAnsi="Verdana" w:cstheme="minorHAnsi"/>
          <w:b/>
          <w:sz w:val="18"/>
          <w:szCs w:val="18"/>
        </w:rPr>
      </w:pPr>
      <w:r w:rsidRPr="00AC1DC9">
        <w:rPr>
          <w:rFonts w:ascii="Verdana" w:hAnsi="Verdana" w:cstheme="minorHAnsi"/>
          <w:b/>
          <w:sz w:val="18"/>
          <w:szCs w:val="18"/>
        </w:rPr>
        <w:t>Arbeits- und sozialpolitische Schwerpunkte der deutschen EU-Ratspräsidentschaft</w:t>
      </w:r>
    </w:p>
    <w:p w14:paraId="638E67C1" w14:textId="77777777" w:rsidR="00177607" w:rsidRPr="00AC1DC9" w:rsidRDefault="00177607" w:rsidP="00177607">
      <w:pPr>
        <w:spacing w:line="300" w:lineRule="auto"/>
        <w:rPr>
          <w:rFonts w:ascii="Verdana" w:hAnsi="Verdana" w:cstheme="minorHAnsi"/>
          <w:sz w:val="18"/>
          <w:szCs w:val="18"/>
        </w:rPr>
      </w:pPr>
    </w:p>
    <w:p w14:paraId="692F5285" w14:textId="77777777" w:rsidR="00177607" w:rsidRPr="00AC1DC9" w:rsidRDefault="00177607" w:rsidP="00177607">
      <w:pPr>
        <w:pStyle w:val="Listenabsatz"/>
        <w:numPr>
          <w:ilvl w:val="0"/>
          <w:numId w:val="23"/>
        </w:numPr>
        <w:spacing w:line="300" w:lineRule="auto"/>
        <w:rPr>
          <w:rFonts w:ascii="Verdana" w:hAnsi="Verdana" w:cstheme="minorHAnsi"/>
          <w:sz w:val="18"/>
          <w:szCs w:val="18"/>
        </w:rPr>
      </w:pPr>
      <w:r w:rsidRPr="00AC1DC9">
        <w:rPr>
          <w:rFonts w:ascii="Verdana" w:hAnsi="Verdana" w:cstheme="minorHAnsi"/>
          <w:b/>
          <w:sz w:val="18"/>
          <w:szCs w:val="18"/>
        </w:rPr>
        <w:t>Zukunft der Arbeit: Plattformökonomie</w:t>
      </w:r>
      <w:r w:rsidRPr="00AC1DC9">
        <w:rPr>
          <w:rFonts w:ascii="Verdana" w:hAnsi="Verdana" w:cstheme="minorHAnsi"/>
          <w:sz w:val="18"/>
          <w:szCs w:val="18"/>
        </w:rPr>
        <w:t xml:space="preserve"> </w:t>
      </w:r>
    </w:p>
    <w:p w14:paraId="577D9860" w14:textId="77777777" w:rsidR="00177607" w:rsidRPr="00AC1DC9" w:rsidRDefault="00177607" w:rsidP="00177607">
      <w:pPr>
        <w:spacing w:line="300" w:lineRule="auto"/>
        <w:rPr>
          <w:rFonts w:ascii="Verdana" w:hAnsi="Verdana" w:cstheme="minorHAnsi"/>
          <w:sz w:val="18"/>
          <w:szCs w:val="18"/>
        </w:rPr>
      </w:pPr>
    </w:p>
    <w:p w14:paraId="084B6F79" w14:textId="4A59381D"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Als Plattformökonomie bezeichnet man internetbasierte Geschäftsmodelle, die Anbieter*innen und Kund*innen auf einem digitalen Marktplatz zusammenbringen, z.B. Portale für Ferienwohnungen oder</w:t>
      </w:r>
      <w:r w:rsidR="00F72A6C">
        <w:rPr>
          <w:rFonts w:ascii="Verdana" w:hAnsi="Verdana" w:cstheme="minorHAnsi"/>
          <w:sz w:val="18"/>
          <w:szCs w:val="18"/>
        </w:rPr>
        <w:t xml:space="preserve"> </w:t>
      </w:r>
      <w:r w:rsidRPr="00AC1DC9">
        <w:rPr>
          <w:rFonts w:ascii="Verdana" w:hAnsi="Verdana" w:cstheme="minorHAnsi"/>
          <w:sz w:val="18"/>
          <w:szCs w:val="18"/>
        </w:rPr>
        <w:t xml:space="preserve">Lieferservices für Essen. </w:t>
      </w:r>
    </w:p>
    <w:p w14:paraId="51002B34"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 xml:space="preserve">Viele plattformbasierte Geschäftsmodelle sind grenzüberschreitend angelegt. Deshalb sind gemeinsame europäische Regeln sinnvoll. Unternehmen sollen die Chancen dieser neuen Geschäftsmodelle nutzen können. Deutschland setzt sich dafür ein, dass aber auch in der Plattformökonomie gute Arbeitsbedingungen und soziale Absicherung gewährleistet werden - unabhängig davon, ob die Tätigkeit als Arbeitnehmer*in oder als Selbstständige*r ausgeübt wird. </w:t>
      </w:r>
    </w:p>
    <w:p w14:paraId="0E865737" w14:textId="77777777" w:rsidR="00177607" w:rsidRPr="00AC1DC9" w:rsidRDefault="00177607" w:rsidP="00177607">
      <w:pPr>
        <w:spacing w:line="300" w:lineRule="auto"/>
        <w:rPr>
          <w:rFonts w:ascii="Verdana" w:hAnsi="Verdana" w:cstheme="minorHAnsi"/>
          <w:sz w:val="18"/>
          <w:szCs w:val="18"/>
        </w:rPr>
      </w:pPr>
    </w:p>
    <w:p w14:paraId="52CC8CFB" w14:textId="77777777" w:rsidR="00177607" w:rsidRPr="00AC1DC9" w:rsidRDefault="00177607" w:rsidP="00177607">
      <w:pPr>
        <w:pStyle w:val="Listenabsatz"/>
        <w:numPr>
          <w:ilvl w:val="0"/>
          <w:numId w:val="23"/>
        </w:numPr>
        <w:spacing w:line="300" w:lineRule="auto"/>
        <w:rPr>
          <w:rFonts w:ascii="Verdana" w:eastAsia="PMingLiU" w:hAnsi="Verdana" w:cstheme="minorHAnsi"/>
          <w:b/>
          <w:sz w:val="18"/>
          <w:szCs w:val="18"/>
        </w:rPr>
      </w:pPr>
      <w:r w:rsidRPr="00AC1DC9">
        <w:rPr>
          <w:rFonts w:ascii="Verdana" w:eastAsia="PMingLiU" w:hAnsi="Verdana" w:cstheme="minorHAnsi"/>
          <w:b/>
          <w:sz w:val="18"/>
          <w:szCs w:val="18"/>
        </w:rPr>
        <w:t>Menschenrechte und gute Arbeit in globalen Lieferketten</w:t>
      </w:r>
    </w:p>
    <w:p w14:paraId="0C495546" w14:textId="77777777" w:rsidR="00177607" w:rsidRPr="00AC1DC9" w:rsidRDefault="00177607" w:rsidP="00177607">
      <w:pPr>
        <w:spacing w:line="300" w:lineRule="auto"/>
        <w:rPr>
          <w:rFonts w:ascii="Verdana" w:eastAsia="PMingLiU" w:hAnsi="Verdana" w:cstheme="minorHAnsi"/>
          <w:sz w:val="18"/>
          <w:szCs w:val="18"/>
        </w:rPr>
      </w:pPr>
    </w:p>
    <w:p w14:paraId="74591AF8" w14:textId="77777777" w:rsidR="00177607" w:rsidRPr="00AC1DC9" w:rsidRDefault="00177607" w:rsidP="00177607">
      <w:pPr>
        <w:spacing w:line="300" w:lineRule="auto"/>
        <w:rPr>
          <w:rFonts w:ascii="Verdana" w:hAnsi="Verdana" w:cstheme="minorHAnsi"/>
          <w:b/>
          <w:sz w:val="18"/>
          <w:szCs w:val="18"/>
        </w:rPr>
      </w:pPr>
      <w:r w:rsidRPr="00AC1DC9">
        <w:rPr>
          <w:rFonts w:ascii="Verdana" w:hAnsi="Verdana" w:cstheme="minorHAnsi"/>
          <w:sz w:val="18"/>
          <w:szCs w:val="18"/>
        </w:rPr>
        <w:t xml:space="preserve">Ob Kleidung, Smartphones oder Autos: Was wir im Alltag nutzen, wird in der ganzen Welt hergestellt. Unternehmen lassen meist dort produzieren, wo es am günstigsten ist. Die Sozial- und Umweltstandards sind dabei sehr unterschiedlich. In der EU bestehen dafür verschiedene nationale und branchenspezifische Übereinkommen. Diese uneinheitlichen Regelungen sind ein Nachteil für international agierende Unternehmen. Immer mehr deutsche und auch europäische Unternehmen fordern gleiche Wettbewerbsbedingungen und einen einheitlichen europäischen Standard. </w:t>
      </w:r>
    </w:p>
    <w:p w14:paraId="196C934F"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Deutschland setzt sich für einen EU-Aktionsplan „Menschenrechte und gute Arbeit in globalen Lieferketten“ ein, um europäischen Unternehmen Rechts- und Handlungssicherheit, gleiche Wettbewerbsbedingungen und Unterstützung (z. B. Branchendialoge, Qualitätskriterien) zu ermöglichen. Der Schutz von Umwelt und Menschenrechten soll damit verbindlicher geregelt werden.</w:t>
      </w:r>
    </w:p>
    <w:p w14:paraId="755BF0DF" w14:textId="77777777" w:rsidR="00177607" w:rsidRPr="00AC1DC9" w:rsidRDefault="00177607" w:rsidP="00177607">
      <w:pPr>
        <w:spacing w:line="300" w:lineRule="auto"/>
        <w:rPr>
          <w:rFonts w:ascii="Verdana" w:hAnsi="Verdana" w:cstheme="minorHAnsi"/>
          <w:sz w:val="18"/>
          <w:szCs w:val="18"/>
        </w:rPr>
      </w:pPr>
    </w:p>
    <w:p w14:paraId="63349D89" w14:textId="77777777" w:rsidR="00177607" w:rsidRPr="00AC1DC9" w:rsidRDefault="00177607" w:rsidP="00177607">
      <w:pPr>
        <w:pStyle w:val="Listenabsatz"/>
        <w:numPr>
          <w:ilvl w:val="0"/>
          <w:numId w:val="23"/>
        </w:numPr>
        <w:spacing w:line="300" w:lineRule="auto"/>
        <w:rPr>
          <w:rFonts w:ascii="Verdana" w:eastAsia="Arial" w:hAnsi="Verdana" w:cstheme="minorHAnsi"/>
          <w:b/>
          <w:sz w:val="18"/>
          <w:szCs w:val="18"/>
        </w:rPr>
      </w:pPr>
      <w:r w:rsidRPr="00AC1DC9">
        <w:rPr>
          <w:rFonts w:ascii="Verdana" w:hAnsi="Verdana" w:cstheme="minorHAnsi"/>
          <w:b/>
          <w:sz w:val="18"/>
          <w:szCs w:val="18"/>
        </w:rPr>
        <w:t xml:space="preserve">Gemeinsamer Rahmen für Mindestlöhne und Grundsicherung </w:t>
      </w:r>
    </w:p>
    <w:p w14:paraId="748C7ACA" w14:textId="77777777" w:rsidR="00177607" w:rsidRPr="00AC1DC9" w:rsidRDefault="00177607" w:rsidP="00177607">
      <w:pPr>
        <w:spacing w:line="300" w:lineRule="auto"/>
        <w:rPr>
          <w:rFonts w:ascii="Verdana" w:hAnsi="Verdana" w:cstheme="minorHAnsi"/>
          <w:sz w:val="18"/>
          <w:szCs w:val="18"/>
        </w:rPr>
      </w:pPr>
    </w:p>
    <w:p w14:paraId="4C4F9869"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Die EU soll die Angleichung der Lebensverhältnisse in Europa voranbringen und dabei auch die Teilhabe der unteren Einkommensgruppen an der Wohlstandsentwicklung sicherstellen. Außerdem müssen die EU-Mitgliedstaaten besser gegen künftige Wirtschaftskrisen gewappnet sein. Ein ausgebauter Sozialschutz, zu dem neben der Arbeitslosenunterstützung ebenfalls Leistungen der nationalen Grundsicherung gehören, stützt die Nachfrage in Krisenzeiten und trägt zur wirtschaftlichen Stabilisierung bei. Zudem helfen wirksame Systeme der Grundsicherung und von Mindestlöhnen, Sozialdumping zu vermeiden und Anreize für Armutswanderung innerhalb Europas zu verringern. Deutschland möchte die Einigung der EU-Mitgliedsländer dahingehend, dass ein gegenseitiges Unterbieten bei Löhnen und sozialen Standards schädlich für alle in Europa ist. Stattdessen soll ein gemeinsamer Rahmen für Mindestlöhne und Grundsicherungssysteme umgesetzt werden.</w:t>
      </w:r>
    </w:p>
    <w:p w14:paraId="2496C5E5" w14:textId="77777777" w:rsidR="00177607" w:rsidRDefault="00177607" w:rsidP="00177607">
      <w:pPr>
        <w:spacing w:line="300" w:lineRule="auto"/>
        <w:rPr>
          <w:rFonts w:ascii="Verdana" w:hAnsi="Verdana" w:cstheme="minorHAnsi"/>
          <w:sz w:val="18"/>
          <w:szCs w:val="18"/>
        </w:rPr>
      </w:pPr>
      <w:r w:rsidRPr="00AC1DC9">
        <w:rPr>
          <w:rFonts w:ascii="Verdana" w:hAnsi="Verdana" w:cstheme="minorHAnsi"/>
          <w:sz w:val="18"/>
          <w:szCs w:val="18"/>
        </w:rPr>
        <w:br w:type="page"/>
      </w:r>
    </w:p>
    <w:p w14:paraId="515236A8" w14:textId="77777777" w:rsidR="00177607" w:rsidRPr="00AC1DC9" w:rsidRDefault="00177607" w:rsidP="00177607">
      <w:pPr>
        <w:spacing w:line="300" w:lineRule="auto"/>
        <w:rPr>
          <w:rFonts w:ascii="Verdana" w:hAnsi="Verdana" w:cstheme="minorHAnsi"/>
          <w:sz w:val="18"/>
          <w:szCs w:val="18"/>
        </w:rPr>
      </w:pPr>
      <w:r w:rsidRPr="00AC1DC9">
        <w:rPr>
          <w:rFonts w:ascii="Verdana" w:hAnsi="Verdana"/>
          <w:b/>
          <w:sz w:val="20"/>
          <w:szCs w:val="18"/>
        </w:rPr>
        <w:lastRenderedPageBreak/>
        <w:t>Lehrerseite</w:t>
      </w:r>
    </w:p>
    <w:p w14:paraId="5A07A9E4" w14:textId="77777777" w:rsidR="00177607" w:rsidRPr="00AC1DC9" w:rsidRDefault="00177607" w:rsidP="00177607">
      <w:pPr>
        <w:spacing w:before="120" w:line="300" w:lineRule="auto"/>
        <w:rPr>
          <w:rFonts w:ascii="Verdana" w:hAnsi="Verdana" w:cstheme="minorHAnsi"/>
          <w:b/>
          <w:sz w:val="18"/>
          <w:szCs w:val="18"/>
        </w:rPr>
      </w:pPr>
      <w:r w:rsidRPr="00AC1DC9">
        <w:rPr>
          <w:rFonts w:ascii="Verdana" w:hAnsi="Verdana" w:cstheme="minorHAnsi"/>
          <w:b/>
          <w:sz w:val="18"/>
          <w:szCs w:val="18"/>
        </w:rPr>
        <w:t>Rolle, Aufgaben und Möglichkeiten der EU-Ratspräsidentschaft</w:t>
      </w:r>
    </w:p>
    <w:p w14:paraId="730D6804" w14:textId="77777777" w:rsidR="00177607" w:rsidRPr="00AC1DC9" w:rsidRDefault="00177607" w:rsidP="00177607">
      <w:pPr>
        <w:pStyle w:val="Standard1"/>
        <w:spacing w:before="0" w:beforeAutospacing="0" w:after="0" w:afterAutospacing="0" w:line="300" w:lineRule="auto"/>
        <w:rPr>
          <w:rFonts w:ascii="Verdana" w:hAnsi="Verdana" w:cstheme="minorHAnsi"/>
          <w:sz w:val="18"/>
          <w:szCs w:val="18"/>
        </w:rPr>
      </w:pPr>
      <w:r w:rsidRPr="00AC1DC9">
        <w:rPr>
          <w:rFonts w:ascii="Verdana" w:hAnsi="Verdana" w:cstheme="minorHAnsi"/>
          <w:sz w:val="18"/>
          <w:szCs w:val="18"/>
        </w:rPr>
        <w:t>Hat ein Mitgliedstaat die EU-Präsidentschaft inne, muss er dafür sorgen, dass die Arbeit des Rates systematisch vorangeht und Entscheidungen gefällt werden. Die Ratspräsidentschaft wechselt unter den Mitgliedstaaten der EU im Rotationsprinzip alle sechs Monate. Die Reihenfolge wird von den Ratsmitgliedern einstimmig beschlossen und ist bereits bis ins Jahr 2030 festgelegt.</w:t>
      </w:r>
    </w:p>
    <w:p w14:paraId="645C59A3" w14:textId="77777777" w:rsidR="00177607" w:rsidRPr="00AC1DC9" w:rsidRDefault="00177607" w:rsidP="00177607">
      <w:pPr>
        <w:pStyle w:val="Standard1"/>
        <w:spacing w:before="0" w:beforeAutospacing="0" w:after="0" w:afterAutospacing="0" w:line="300" w:lineRule="auto"/>
        <w:rPr>
          <w:rFonts w:ascii="Verdana" w:hAnsi="Verdana" w:cstheme="minorHAnsi"/>
          <w:b/>
          <w:sz w:val="18"/>
          <w:szCs w:val="18"/>
        </w:rPr>
      </w:pPr>
    </w:p>
    <w:p w14:paraId="45E7A98A" w14:textId="77777777" w:rsidR="00177607" w:rsidRPr="00AC1DC9" w:rsidRDefault="00177607" w:rsidP="00177607">
      <w:pPr>
        <w:pStyle w:val="Standard1"/>
        <w:spacing w:before="0" w:beforeAutospacing="0" w:after="0" w:afterAutospacing="0" w:line="300" w:lineRule="auto"/>
        <w:rPr>
          <w:rFonts w:ascii="Verdana" w:hAnsi="Verdana" w:cstheme="minorHAnsi"/>
          <w:b/>
          <w:sz w:val="18"/>
          <w:szCs w:val="18"/>
        </w:rPr>
      </w:pPr>
      <w:r w:rsidRPr="00AC1DC9">
        <w:rPr>
          <w:rFonts w:ascii="Verdana" w:hAnsi="Verdana" w:cstheme="minorHAnsi"/>
          <w:b/>
          <w:sz w:val="18"/>
          <w:szCs w:val="18"/>
        </w:rPr>
        <w:t>Die Präsidentschaft leitet und unterstützt die Arbeit des Rates der Europäischen Union</w:t>
      </w:r>
    </w:p>
    <w:p w14:paraId="635FFF7A" w14:textId="77777777" w:rsidR="00177607" w:rsidRPr="00AC1DC9" w:rsidRDefault="00177607" w:rsidP="00177607">
      <w:pPr>
        <w:pStyle w:val="Standard1"/>
        <w:spacing w:before="0" w:beforeAutospacing="0" w:after="0" w:afterAutospacing="0" w:line="300" w:lineRule="auto"/>
        <w:rPr>
          <w:rFonts w:ascii="Verdana" w:hAnsi="Verdana" w:cstheme="minorHAnsi"/>
          <w:sz w:val="18"/>
          <w:szCs w:val="18"/>
        </w:rPr>
      </w:pPr>
      <w:r w:rsidRPr="00AC1DC9">
        <w:rPr>
          <w:rFonts w:ascii="Verdana" w:hAnsi="Verdana" w:cstheme="minorHAnsi"/>
          <w:sz w:val="18"/>
          <w:szCs w:val="18"/>
        </w:rPr>
        <w:t>Die erste Hauptaufgabe der Präsidentschaft besteht darin, die Arbeiten des Europäischen Rates und des Rates der Europäischen Union vorzubereiten und zu leiten. Darüber hinaus muss die Ratspräsidentschaft auch die wichtige Rolle des Vermittlers in Streitfällen übernehmen und muss versuchen, Brücken zwischen den EU-Mitgliedern zu schlagen, wenn diese sich nicht allein einigen können.</w:t>
      </w:r>
      <w:r w:rsidRPr="00AC1DC9">
        <w:rPr>
          <w:rFonts w:ascii="Verdana" w:hAnsi="Verdana" w:cstheme="minorHAnsi"/>
          <w:sz w:val="18"/>
          <w:szCs w:val="18"/>
        </w:rPr>
        <w:br/>
        <w:t>Entsprechend der Arbeitsteilung der Regierung des Staates, der den Vorsitz innehat, teilen sich deren Minister auch die Vorsitzaufgaben für den Rat der Europäischen Union. Während der deutschen Ratspräsidentschaft sitzt die deutsche Bundeskanzlerin also dem Europäischen Rat (dem Treffen der Staats- und Regierungschefs) vor, während ihre Kollegen und Kolleginnen die Treffen der Fachressortleiter moderieren. Vorbereitet werden diese Treffen unter anderem durch die Arbeitsgruppen der Fachministerien in den Mitgliedsländern, die dann von den Beamten des Präsidentschaftslands koordiniert werden.</w:t>
      </w:r>
      <w:r w:rsidRPr="00AC1DC9">
        <w:rPr>
          <w:rFonts w:ascii="Verdana" w:hAnsi="Verdana" w:cstheme="minorHAnsi"/>
          <w:sz w:val="18"/>
          <w:szCs w:val="18"/>
        </w:rPr>
        <w:br/>
      </w:r>
    </w:p>
    <w:p w14:paraId="74D8DE2F" w14:textId="77777777" w:rsidR="00177607" w:rsidRPr="00AC1DC9" w:rsidRDefault="00177607" w:rsidP="00177607">
      <w:pPr>
        <w:pStyle w:val="Standard1"/>
        <w:spacing w:before="0" w:beforeAutospacing="0" w:after="0" w:afterAutospacing="0" w:line="300" w:lineRule="auto"/>
        <w:rPr>
          <w:rFonts w:ascii="Verdana" w:hAnsi="Verdana" w:cstheme="minorHAnsi"/>
          <w:b/>
          <w:color w:val="365F91" w:themeColor="accent1" w:themeShade="BF"/>
          <w:sz w:val="18"/>
          <w:szCs w:val="18"/>
        </w:rPr>
      </w:pPr>
      <w:r w:rsidRPr="00AC1DC9">
        <w:rPr>
          <w:rFonts w:ascii="Verdana" w:hAnsi="Verdana" w:cstheme="minorHAnsi"/>
          <w:b/>
          <w:sz w:val="18"/>
          <w:szCs w:val="18"/>
        </w:rPr>
        <w:t>Die Präsidentschaft vertritt den Rat der Europäischen Union</w:t>
      </w:r>
    </w:p>
    <w:p w14:paraId="3ED09C5F" w14:textId="77777777" w:rsidR="00177607" w:rsidRPr="00AC1DC9" w:rsidRDefault="00177607" w:rsidP="00177607">
      <w:pPr>
        <w:pStyle w:val="Standard1"/>
        <w:spacing w:before="0" w:beforeAutospacing="0" w:after="0" w:afterAutospacing="0" w:line="300" w:lineRule="auto"/>
        <w:rPr>
          <w:rFonts w:ascii="Verdana" w:hAnsi="Verdana" w:cstheme="minorHAnsi"/>
          <w:sz w:val="18"/>
          <w:szCs w:val="18"/>
        </w:rPr>
      </w:pPr>
      <w:r w:rsidRPr="00AC1DC9">
        <w:rPr>
          <w:rFonts w:ascii="Verdana" w:hAnsi="Verdana" w:cstheme="minorHAnsi"/>
          <w:sz w:val="18"/>
          <w:szCs w:val="18"/>
        </w:rPr>
        <w:t>Die zweite Hauptaufgabe der Präsidentschaft liegt in der Vertretung des Rates gegenüber den anderen EU-Institutionen, vor allem gegenüber der Kommission und dem EU-Parlament.</w:t>
      </w:r>
      <w:r w:rsidRPr="00AC1DC9">
        <w:rPr>
          <w:rFonts w:ascii="Verdana" w:hAnsi="Verdana" w:cstheme="minorHAnsi"/>
          <w:sz w:val="18"/>
          <w:szCs w:val="18"/>
        </w:rPr>
        <w:br/>
        <w:t xml:space="preserve">Im Parlament legt die vorsitzende Regierung am Beginn ihrer Amtszeit einen Arbeitsplan für die kommenden sechs Monate vor und muss den Abgeordneten am Ende der sechs Monate Bericht über die erreichten Ziele erstatten. Außerdem leitet die Präsidentschaft die möglichen Verhandlungen zwischen Parlament und Rat über legislative Vorhaben. </w:t>
      </w:r>
    </w:p>
    <w:p w14:paraId="640BC68B" w14:textId="77777777" w:rsidR="00177607" w:rsidRPr="00AC1DC9" w:rsidRDefault="00177607" w:rsidP="00177607">
      <w:pPr>
        <w:pStyle w:val="Standard1"/>
        <w:spacing w:before="0" w:beforeAutospacing="0" w:after="0" w:afterAutospacing="0" w:line="300" w:lineRule="auto"/>
        <w:rPr>
          <w:rFonts w:ascii="Verdana" w:hAnsi="Verdana" w:cstheme="minorHAnsi"/>
          <w:sz w:val="18"/>
          <w:szCs w:val="18"/>
        </w:rPr>
      </w:pPr>
      <w:r w:rsidRPr="00AC1DC9">
        <w:rPr>
          <w:rFonts w:ascii="Verdana" w:hAnsi="Verdana" w:cstheme="minorHAnsi"/>
          <w:sz w:val="18"/>
          <w:szCs w:val="18"/>
        </w:rPr>
        <w:t>Daneben ist die Präsidentschaft auch für die Beziehungen zur Kommission verantwortlich, was etwa bei Verhandlungen über internationale Handelsabkommen besonders wichtig ist. In diesen Fällen repräsentiert die Kommission mit Zustimmung des Rates die gesamte Europäische Union.</w:t>
      </w:r>
    </w:p>
    <w:p w14:paraId="32CCC120" w14:textId="77777777" w:rsidR="00177607" w:rsidRPr="00AC1DC9" w:rsidRDefault="00177607" w:rsidP="00177607">
      <w:pPr>
        <w:pStyle w:val="Standard1"/>
        <w:spacing w:before="0" w:beforeAutospacing="0" w:after="0" w:afterAutospacing="0" w:line="300" w:lineRule="auto"/>
        <w:rPr>
          <w:rFonts w:ascii="Verdana" w:hAnsi="Verdana" w:cstheme="minorHAnsi"/>
          <w:sz w:val="18"/>
          <w:szCs w:val="18"/>
        </w:rPr>
      </w:pPr>
      <w:r w:rsidRPr="00AC1DC9">
        <w:rPr>
          <w:rFonts w:ascii="Verdana" w:hAnsi="Verdana" w:cstheme="minorHAnsi"/>
          <w:sz w:val="18"/>
          <w:szCs w:val="18"/>
        </w:rPr>
        <w:t>Schließlich gilt es für die Präsidentschaft aber auch, die anderen Institutionen der EU in Kontakt mit dem Rat zu halten. Zum Beispiel wird das Arbeitsprogramm für die Amtszeit nicht nur im Parlament, sondern auch im Wirtschafts- und Sozialausschuss und im Ausschuss der Regionen vorgestellt und Repräsentanten der Präsidentschaft besuchen</w:t>
      </w:r>
      <w:r w:rsidRPr="00AC1DC9">
        <w:rPr>
          <w:rFonts w:ascii="Verdana" w:hAnsi="Verdana" w:cstheme="minorHAnsi"/>
          <w:color w:val="000000" w:themeColor="text1"/>
          <w:sz w:val="18"/>
          <w:szCs w:val="18"/>
        </w:rPr>
        <w:t xml:space="preserve"> </w:t>
      </w:r>
      <w:r w:rsidRPr="00AC1DC9">
        <w:rPr>
          <w:rFonts w:ascii="Verdana" w:hAnsi="Verdana" w:cstheme="minorHAnsi"/>
          <w:sz w:val="18"/>
          <w:szCs w:val="18"/>
        </w:rPr>
        <w:t>den Europäischen Gerichtshof.</w:t>
      </w:r>
    </w:p>
    <w:p w14:paraId="7419C16A" w14:textId="77777777" w:rsidR="00177607" w:rsidRPr="00AC1DC9" w:rsidRDefault="00177607" w:rsidP="00177607">
      <w:pPr>
        <w:pStyle w:val="Standard1"/>
        <w:spacing w:before="0" w:beforeAutospacing="0" w:after="0" w:afterAutospacing="0" w:line="300" w:lineRule="auto"/>
        <w:rPr>
          <w:rFonts w:ascii="Verdana" w:hAnsi="Verdana" w:cstheme="minorHAnsi"/>
          <w:color w:val="000000" w:themeColor="text1"/>
          <w:sz w:val="18"/>
          <w:szCs w:val="18"/>
        </w:rPr>
      </w:pPr>
    </w:p>
    <w:p w14:paraId="1B1DE2B7" w14:textId="77777777" w:rsidR="00177607" w:rsidRPr="00AC1DC9" w:rsidRDefault="00177607" w:rsidP="00177607">
      <w:pPr>
        <w:pStyle w:val="Standard1"/>
        <w:spacing w:before="0" w:beforeAutospacing="0" w:after="0" w:afterAutospacing="0" w:line="300" w:lineRule="auto"/>
        <w:rPr>
          <w:rFonts w:ascii="Verdana" w:hAnsi="Verdana" w:cstheme="minorHAnsi"/>
          <w:b/>
          <w:color w:val="365F91" w:themeColor="accent1" w:themeShade="BF"/>
          <w:sz w:val="18"/>
          <w:szCs w:val="18"/>
        </w:rPr>
      </w:pPr>
      <w:r w:rsidRPr="00AC1DC9">
        <w:rPr>
          <w:rFonts w:ascii="Verdana" w:hAnsi="Verdana" w:cstheme="minorHAnsi"/>
          <w:b/>
          <w:sz w:val="18"/>
          <w:szCs w:val="18"/>
        </w:rPr>
        <w:t>Die Präsidentschaft vertritt die Europäische Union auf internationaler Ebene</w:t>
      </w:r>
    </w:p>
    <w:p w14:paraId="648F4CD6" w14:textId="77777777" w:rsidR="00177607" w:rsidRPr="00AC1DC9" w:rsidRDefault="00177607" w:rsidP="00177607">
      <w:pPr>
        <w:pStyle w:val="Standard1"/>
        <w:spacing w:before="0" w:beforeAutospacing="0" w:after="120" w:afterAutospacing="0" w:line="300" w:lineRule="auto"/>
        <w:rPr>
          <w:rFonts w:ascii="Verdana" w:hAnsi="Verdana" w:cstheme="minorHAnsi"/>
          <w:sz w:val="18"/>
          <w:szCs w:val="18"/>
        </w:rPr>
      </w:pPr>
      <w:r w:rsidRPr="00AC1DC9">
        <w:rPr>
          <w:rFonts w:ascii="Verdana" w:hAnsi="Verdana" w:cstheme="minorHAnsi"/>
          <w:sz w:val="18"/>
          <w:szCs w:val="18"/>
        </w:rPr>
        <w:t>Die dritte Hauptaufgabe der Präsidentschaft besteht darin, gemeinsam mit dem Hohen Vertreter der Europäischen Union für Außen- und Sicherheitspolitik, die Europäische Union in der Gemeinsamen Außen- und Sicherheitspolitik (GASP) zu vertreten. Damit ist die Präsidentschaft auch dafür verantwortlich, dass der Dialog mit Drittstaaten aufrechterhalten und konstruktiv fortgesetzt wird. Des Weiteren bereitet die Präsidentschaft die Sitzungen und Entscheidungen des Rates für Allgemeine Angelegenheiten und Außenbeziehungen vor, der eine der Ratsformationen darstellt und für alle Fragen der Außenbeziehungen und Sicherheit der EU zuständig ist.</w:t>
      </w:r>
    </w:p>
    <w:p w14:paraId="68839D15" w14:textId="77777777" w:rsidR="00177607" w:rsidRPr="00AC1DC9" w:rsidRDefault="00177607" w:rsidP="00177607">
      <w:pPr>
        <w:pStyle w:val="Standard1"/>
        <w:spacing w:before="0" w:beforeAutospacing="0" w:after="120" w:afterAutospacing="0" w:line="300" w:lineRule="auto"/>
        <w:rPr>
          <w:rFonts w:ascii="Verdana" w:hAnsi="Verdana" w:cs="Arial"/>
          <w:sz w:val="18"/>
          <w:szCs w:val="18"/>
        </w:rPr>
      </w:pPr>
      <w:r w:rsidRPr="00AC1DC9">
        <w:rPr>
          <w:rFonts w:ascii="Verdana" w:hAnsi="Verdana" w:cstheme="minorHAnsi"/>
          <w:sz w:val="18"/>
          <w:szCs w:val="18"/>
        </w:rPr>
        <w:t>Darüber hinaus vertritt die Präsidentschaft die Union und ihre gemeinsamen Positionen in Verhandlungen internationaler Organisationen wie den Vereinten Nationen (UNO) oder - gemeinsam mit der Kommission - in der Welthandelsorganisation (WTO).</w:t>
      </w:r>
    </w:p>
    <w:p w14:paraId="2E2E60BD" w14:textId="77777777" w:rsidR="00E66775" w:rsidRDefault="00E66775" w:rsidP="00177607">
      <w:pPr>
        <w:spacing w:line="300" w:lineRule="auto"/>
        <w:rPr>
          <w:rFonts w:ascii="Verdana" w:hAnsi="Verdana" w:cstheme="minorHAnsi"/>
          <w:b/>
          <w:sz w:val="18"/>
          <w:szCs w:val="18"/>
        </w:rPr>
      </w:pPr>
    </w:p>
    <w:p w14:paraId="5B0C8AEC" w14:textId="2EF98E8C" w:rsidR="00177607" w:rsidRDefault="00177607" w:rsidP="00177607">
      <w:pPr>
        <w:spacing w:line="300" w:lineRule="auto"/>
        <w:rPr>
          <w:rFonts w:ascii="Verdana" w:hAnsi="Verdana" w:cstheme="minorHAnsi"/>
          <w:b/>
          <w:sz w:val="18"/>
          <w:szCs w:val="18"/>
        </w:rPr>
      </w:pPr>
      <w:r w:rsidRPr="00AC1DC9">
        <w:rPr>
          <w:rFonts w:ascii="Verdana" w:hAnsi="Verdana" w:cstheme="minorHAnsi"/>
          <w:b/>
          <w:sz w:val="18"/>
          <w:szCs w:val="18"/>
        </w:rPr>
        <w:t>Arbeitsaufträge Lösungen</w:t>
      </w:r>
    </w:p>
    <w:p w14:paraId="36DE6814" w14:textId="77777777" w:rsidR="00A90173" w:rsidRPr="00AC1DC9" w:rsidRDefault="00A90173" w:rsidP="00177607">
      <w:pPr>
        <w:spacing w:line="300" w:lineRule="auto"/>
        <w:rPr>
          <w:rFonts w:ascii="Verdana" w:hAnsi="Verdana" w:cstheme="minorHAnsi"/>
          <w:b/>
          <w:sz w:val="18"/>
          <w:szCs w:val="18"/>
        </w:rPr>
      </w:pPr>
    </w:p>
    <w:p w14:paraId="0B3A73F4" w14:textId="3C88DBFB" w:rsidR="00177607" w:rsidRPr="00AC1DC9" w:rsidRDefault="00177607" w:rsidP="00177607">
      <w:pPr>
        <w:spacing w:line="300" w:lineRule="auto"/>
        <w:rPr>
          <w:rFonts w:ascii="Verdana" w:hAnsi="Verdana" w:cstheme="minorHAnsi"/>
          <w:sz w:val="18"/>
          <w:szCs w:val="18"/>
        </w:rPr>
      </w:pPr>
      <w:r w:rsidRPr="00AC1DC9">
        <w:rPr>
          <w:rFonts w:ascii="Verdana" w:hAnsi="Verdana" w:cstheme="minorHAnsi"/>
          <w:sz w:val="18"/>
          <w:szCs w:val="18"/>
        </w:rPr>
        <w:t>1.</w:t>
      </w:r>
      <w:r w:rsidR="00F86938">
        <w:rPr>
          <w:rFonts w:ascii="Verdana" w:hAnsi="Verdana" w:cstheme="minorHAnsi"/>
          <w:sz w:val="18"/>
          <w:szCs w:val="18"/>
        </w:rPr>
        <w:t xml:space="preserve"> Richtig oder falsch?</w:t>
      </w:r>
      <w:bookmarkStart w:id="0" w:name="_GoBack"/>
      <w:bookmarkEnd w:id="0"/>
    </w:p>
    <w:tbl>
      <w:tblPr>
        <w:tblStyle w:val="Tabellenraster"/>
        <w:tblW w:w="9066" w:type="dxa"/>
        <w:tblLook w:val="04A0" w:firstRow="1" w:lastRow="0" w:firstColumn="1" w:lastColumn="0" w:noHBand="0" w:noVBand="1"/>
      </w:tblPr>
      <w:tblGrid>
        <w:gridCol w:w="6232"/>
        <w:gridCol w:w="1417"/>
        <w:gridCol w:w="1417"/>
      </w:tblGrid>
      <w:tr w:rsidR="00177607" w:rsidRPr="00AC1DC9" w14:paraId="2609B699" w14:textId="77777777" w:rsidTr="00177607">
        <w:trPr>
          <w:trHeight w:val="680"/>
        </w:trPr>
        <w:tc>
          <w:tcPr>
            <w:tcW w:w="6232" w:type="dxa"/>
          </w:tcPr>
          <w:p w14:paraId="5C7F008D" w14:textId="77777777" w:rsidR="00177607" w:rsidRPr="00AC1DC9" w:rsidRDefault="00177607" w:rsidP="00646D81">
            <w:pPr>
              <w:spacing w:line="300" w:lineRule="auto"/>
              <w:rPr>
                <w:rFonts w:ascii="Verdana" w:hAnsi="Verdana" w:cstheme="minorHAnsi"/>
                <w:sz w:val="18"/>
                <w:szCs w:val="18"/>
              </w:rPr>
            </w:pPr>
          </w:p>
        </w:tc>
        <w:tc>
          <w:tcPr>
            <w:tcW w:w="1417" w:type="dxa"/>
            <w:vAlign w:val="center"/>
          </w:tcPr>
          <w:p w14:paraId="0F4501CF"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richtig</w:t>
            </w:r>
          </w:p>
        </w:tc>
        <w:tc>
          <w:tcPr>
            <w:tcW w:w="1417" w:type="dxa"/>
            <w:vAlign w:val="center"/>
          </w:tcPr>
          <w:p w14:paraId="65631AD8"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falsch</w:t>
            </w:r>
          </w:p>
        </w:tc>
      </w:tr>
      <w:tr w:rsidR="00177607" w:rsidRPr="00AC1DC9" w14:paraId="2A281AB6" w14:textId="77777777" w:rsidTr="00177607">
        <w:trPr>
          <w:trHeight w:val="680"/>
        </w:trPr>
        <w:tc>
          <w:tcPr>
            <w:tcW w:w="6232" w:type="dxa"/>
            <w:vAlign w:val="center"/>
          </w:tcPr>
          <w:p w14:paraId="5DAED529"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Drei Mitgliedstaaten der EU bilden bei der Präsidentschaft jeweils ein Trio.</w:t>
            </w:r>
          </w:p>
        </w:tc>
        <w:tc>
          <w:tcPr>
            <w:tcW w:w="1417" w:type="dxa"/>
          </w:tcPr>
          <w:p w14:paraId="17346DF9"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x</w:t>
            </w:r>
          </w:p>
        </w:tc>
        <w:tc>
          <w:tcPr>
            <w:tcW w:w="1417" w:type="dxa"/>
          </w:tcPr>
          <w:p w14:paraId="516BA865"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63CBBEF3" w14:textId="77777777" w:rsidTr="00177607">
        <w:trPr>
          <w:trHeight w:val="680"/>
        </w:trPr>
        <w:tc>
          <w:tcPr>
            <w:tcW w:w="6232" w:type="dxa"/>
            <w:vAlign w:val="center"/>
          </w:tcPr>
          <w:p w14:paraId="5F9580CC"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Federführung für die deutsche EU-Ratspräsidentschaft liegt im Bundeskanzleramt.</w:t>
            </w:r>
          </w:p>
        </w:tc>
        <w:tc>
          <w:tcPr>
            <w:tcW w:w="1417" w:type="dxa"/>
          </w:tcPr>
          <w:p w14:paraId="057AF34C"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58D44E46"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x</w:t>
            </w:r>
          </w:p>
        </w:tc>
      </w:tr>
      <w:tr w:rsidR="00177607" w:rsidRPr="00AC1DC9" w14:paraId="6BBA121C" w14:textId="77777777" w:rsidTr="00177607">
        <w:trPr>
          <w:trHeight w:val="680"/>
        </w:trPr>
        <w:tc>
          <w:tcPr>
            <w:tcW w:w="6232" w:type="dxa"/>
            <w:vAlign w:val="center"/>
          </w:tcPr>
          <w:p w14:paraId="1A696338"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EU-Ratspräsidentschaft wechselt dreimal im Jahr.</w:t>
            </w:r>
          </w:p>
        </w:tc>
        <w:tc>
          <w:tcPr>
            <w:tcW w:w="1417" w:type="dxa"/>
          </w:tcPr>
          <w:p w14:paraId="5810273F"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7EBE75CC"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x</w:t>
            </w:r>
          </w:p>
        </w:tc>
      </w:tr>
      <w:tr w:rsidR="00177607" w:rsidRPr="00AC1DC9" w14:paraId="0A888734" w14:textId="77777777" w:rsidTr="00177607">
        <w:trPr>
          <w:trHeight w:val="680"/>
        </w:trPr>
        <w:tc>
          <w:tcPr>
            <w:tcW w:w="6232" w:type="dxa"/>
            <w:vAlign w:val="center"/>
          </w:tcPr>
          <w:p w14:paraId="5C55B7E1"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Die EU-Ratspräsidentschaft vertritt die Mitgliedstaaten gegenüber dem Europäischen Parlament.</w:t>
            </w:r>
          </w:p>
        </w:tc>
        <w:tc>
          <w:tcPr>
            <w:tcW w:w="1417" w:type="dxa"/>
          </w:tcPr>
          <w:p w14:paraId="5F7C0861"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x</w:t>
            </w:r>
          </w:p>
        </w:tc>
        <w:tc>
          <w:tcPr>
            <w:tcW w:w="1417" w:type="dxa"/>
          </w:tcPr>
          <w:p w14:paraId="345A62AE" w14:textId="77777777" w:rsidR="00177607" w:rsidRPr="00AC1DC9" w:rsidRDefault="00177607" w:rsidP="00646D81">
            <w:pPr>
              <w:spacing w:line="300" w:lineRule="auto"/>
              <w:jc w:val="center"/>
              <w:rPr>
                <w:rFonts w:ascii="Verdana" w:hAnsi="Verdana" w:cstheme="minorHAnsi"/>
                <w:sz w:val="18"/>
                <w:szCs w:val="18"/>
              </w:rPr>
            </w:pPr>
          </w:p>
        </w:tc>
      </w:tr>
      <w:tr w:rsidR="00177607" w:rsidRPr="00AC1DC9" w14:paraId="55827A0C" w14:textId="77777777" w:rsidTr="00177607">
        <w:trPr>
          <w:trHeight w:val="680"/>
        </w:trPr>
        <w:tc>
          <w:tcPr>
            <w:tcW w:w="6232" w:type="dxa"/>
            <w:vAlign w:val="center"/>
          </w:tcPr>
          <w:p w14:paraId="32B78F23" w14:textId="77777777" w:rsidR="00177607" w:rsidRPr="00AC1DC9" w:rsidRDefault="00177607" w:rsidP="00646D81">
            <w:pPr>
              <w:spacing w:line="300" w:lineRule="auto"/>
              <w:rPr>
                <w:rFonts w:ascii="Verdana" w:hAnsi="Verdana" w:cstheme="minorHAnsi"/>
                <w:sz w:val="18"/>
                <w:szCs w:val="18"/>
              </w:rPr>
            </w:pPr>
            <w:r w:rsidRPr="00AC1DC9">
              <w:rPr>
                <w:rFonts w:ascii="Verdana" w:hAnsi="Verdana" w:cstheme="minorHAnsi"/>
                <w:sz w:val="18"/>
                <w:szCs w:val="18"/>
              </w:rPr>
              <w:t xml:space="preserve">Das Programm Deutschlands für die EU-Ratspräsidentschaft umfasst nur Wirtschafts- und Umweltpolitik. </w:t>
            </w:r>
          </w:p>
        </w:tc>
        <w:tc>
          <w:tcPr>
            <w:tcW w:w="1417" w:type="dxa"/>
          </w:tcPr>
          <w:p w14:paraId="46FB02DD" w14:textId="77777777" w:rsidR="00177607" w:rsidRPr="00AC1DC9" w:rsidRDefault="00177607" w:rsidP="00646D81">
            <w:pPr>
              <w:spacing w:line="300" w:lineRule="auto"/>
              <w:jc w:val="center"/>
              <w:rPr>
                <w:rFonts w:ascii="Verdana" w:hAnsi="Verdana" w:cstheme="minorHAnsi"/>
                <w:sz w:val="18"/>
                <w:szCs w:val="18"/>
              </w:rPr>
            </w:pPr>
          </w:p>
        </w:tc>
        <w:tc>
          <w:tcPr>
            <w:tcW w:w="1417" w:type="dxa"/>
          </w:tcPr>
          <w:p w14:paraId="26A9A743" w14:textId="77777777" w:rsidR="00177607" w:rsidRPr="00AC1DC9" w:rsidRDefault="00177607" w:rsidP="00646D81">
            <w:pPr>
              <w:spacing w:line="300" w:lineRule="auto"/>
              <w:jc w:val="center"/>
              <w:rPr>
                <w:rFonts w:ascii="Verdana" w:hAnsi="Verdana" w:cstheme="minorHAnsi"/>
                <w:sz w:val="18"/>
                <w:szCs w:val="18"/>
              </w:rPr>
            </w:pPr>
            <w:r w:rsidRPr="00AC1DC9">
              <w:rPr>
                <w:rFonts w:ascii="Verdana" w:hAnsi="Verdana" w:cstheme="minorHAnsi"/>
                <w:sz w:val="18"/>
                <w:szCs w:val="18"/>
              </w:rPr>
              <w:t>x</w:t>
            </w:r>
          </w:p>
        </w:tc>
      </w:tr>
    </w:tbl>
    <w:p w14:paraId="09910DDB" w14:textId="77777777" w:rsidR="00177607" w:rsidRPr="00AC1DC9" w:rsidRDefault="00177607" w:rsidP="00177607">
      <w:pPr>
        <w:pStyle w:val="Standard1"/>
        <w:spacing w:before="0" w:beforeAutospacing="0" w:after="120" w:afterAutospacing="0" w:line="300" w:lineRule="auto"/>
        <w:rPr>
          <w:rFonts w:ascii="Verdana" w:hAnsi="Verdana" w:cs="Arial"/>
          <w:sz w:val="18"/>
          <w:szCs w:val="18"/>
        </w:rPr>
      </w:pPr>
    </w:p>
    <w:p w14:paraId="1CCD48D4" w14:textId="77777777" w:rsidR="00177607" w:rsidRPr="00AC1DC9" w:rsidRDefault="00177607" w:rsidP="00177607">
      <w:pPr>
        <w:pStyle w:val="Standard1"/>
        <w:spacing w:before="0" w:beforeAutospacing="0" w:after="120" w:afterAutospacing="0" w:line="300" w:lineRule="auto"/>
        <w:rPr>
          <w:rFonts w:ascii="Verdana" w:hAnsi="Verdana" w:cs="Arial"/>
          <w:sz w:val="18"/>
          <w:szCs w:val="18"/>
        </w:rPr>
      </w:pPr>
      <w:r w:rsidRPr="00AC1DC9">
        <w:rPr>
          <w:rFonts w:ascii="Verdana" w:hAnsi="Verdana" w:cs="Arial"/>
          <w:sz w:val="18"/>
          <w:szCs w:val="18"/>
        </w:rPr>
        <w:t>2. Auf folgende Faktoren sind Auswirkungen möglich. Die Aufzählungen können durch weitere Beispiele ergänzt werden.</w:t>
      </w:r>
    </w:p>
    <w:tbl>
      <w:tblPr>
        <w:tblStyle w:val="Tabellenraster"/>
        <w:tblW w:w="9067" w:type="dxa"/>
        <w:tblLook w:val="04A0" w:firstRow="1" w:lastRow="0" w:firstColumn="1" w:lastColumn="0" w:noHBand="0" w:noVBand="1"/>
      </w:tblPr>
      <w:tblGrid>
        <w:gridCol w:w="3249"/>
        <w:gridCol w:w="3113"/>
        <w:gridCol w:w="2705"/>
      </w:tblGrid>
      <w:tr w:rsidR="00177607" w:rsidRPr="00AC1DC9" w14:paraId="0FF2B82F" w14:textId="77777777" w:rsidTr="00177607">
        <w:tc>
          <w:tcPr>
            <w:tcW w:w="3249" w:type="dxa"/>
            <w:vAlign w:val="center"/>
          </w:tcPr>
          <w:p w14:paraId="0A6F9E52" w14:textId="77777777" w:rsidR="00177607" w:rsidRPr="00AC1DC9" w:rsidRDefault="00177607" w:rsidP="00646D81">
            <w:pPr>
              <w:pStyle w:val="Standard1"/>
              <w:spacing w:before="0" w:beforeAutospacing="0" w:after="120" w:afterAutospacing="0" w:line="300" w:lineRule="auto"/>
              <w:jc w:val="center"/>
              <w:rPr>
                <w:rFonts w:ascii="Verdana" w:hAnsi="Verdana" w:cs="Arial"/>
                <w:sz w:val="18"/>
                <w:szCs w:val="18"/>
              </w:rPr>
            </w:pPr>
            <w:r w:rsidRPr="00AC1DC9">
              <w:rPr>
                <w:rFonts w:ascii="Verdana" w:hAnsi="Verdana" w:cs="Arial"/>
                <w:sz w:val="18"/>
                <w:szCs w:val="18"/>
              </w:rPr>
              <w:t>Unternehmen</w:t>
            </w:r>
          </w:p>
        </w:tc>
        <w:tc>
          <w:tcPr>
            <w:tcW w:w="3113" w:type="dxa"/>
            <w:vAlign w:val="center"/>
          </w:tcPr>
          <w:p w14:paraId="77197731" w14:textId="60B9FAAC" w:rsidR="00177607" w:rsidRPr="00AC1DC9" w:rsidRDefault="00177607" w:rsidP="00646D81">
            <w:pPr>
              <w:pStyle w:val="Standard1"/>
              <w:spacing w:before="0" w:beforeAutospacing="0" w:after="120" w:afterAutospacing="0" w:line="300" w:lineRule="auto"/>
              <w:jc w:val="center"/>
              <w:rPr>
                <w:rFonts w:ascii="Verdana" w:hAnsi="Verdana" w:cs="Arial"/>
                <w:sz w:val="18"/>
                <w:szCs w:val="18"/>
              </w:rPr>
            </w:pPr>
            <w:r w:rsidRPr="00AC1DC9">
              <w:rPr>
                <w:rFonts w:ascii="Verdana" w:hAnsi="Verdana" w:cs="Arial"/>
                <w:sz w:val="18"/>
                <w:szCs w:val="18"/>
              </w:rPr>
              <w:t xml:space="preserve">Arbeitnehmer*innen </w:t>
            </w:r>
            <w:r>
              <w:rPr>
                <w:rFonts w:ascii="Verdana" w:hAnsi="Verdana" w:cs="Arial"/>
                <w:sz w:val="18"/>
                <w:szCs w:val="18"/>
              </w:rPr>
              <w:br/>
            </w:r>
            <w:r w:rsidRPr="00AC1DC9">
              <w:rPr>
                <w:rFonts w:ascii="Verdana" w:hAnsi="Verdana" w:cs="Arial"/>
                <w:sz w:val="18"/>
                <w:szCs w:val="18"/>
              </w:rPr>
              <w:t>und Selbständige</w:t>
            </w:r>
          </w:p>
        </w:tc>
        <w:tc>
          <w:tcPr>
            <w:tcW w:w="2705" w:type="dxa"/>
            <w:vAlign w:val="center"/>
          </w:tcPr>
          <w:p w14:paraId="26FE96FA" w14:textId="77777777" w:rsidR="00177607" w:rsidRPr="00AC1DC9" w:rsidRDefault="00177607" w:rsidP="00646D81">
            <w:pPr>
              <w:pStyle w:val="Standard1"/>
              <w:spacing w:before="0" w:beforeAutospacing="0" w:after="120" w:afterAutospacing="0" w:line="300" w:lineRule="auto"/>
              <w:jc w:val="center"/>
              <w:rPr>
                <w:rFonts w:ascii="Verdana" w:hAnsi="Verdana" w:cs="Arial"/>
                <w:sz w:val="18"/>
                <w:szCs w:val="18"/>
              </w:rPr>
            </w:pPr>
            <w:r w:rsidRPr="00AC1DC9">
              <w:rPr>
                <w:rFonts w:ascii="Verdana" w:hAnsi="Verdana" w:cs="Arial"/>
                <w:sz w:val="18"/>
                <w:szCs w:val="18"/>
              </w:rPr>
              <w:t>Konsument*innen</w:t>
            </w:r>
          </w:p>
        </w:tc>
      </w:tr>
      <w:tr w:rsidR="00177607" w:rsidRPr="00AC1DC9" w14:paraId="24B2AE2D" w14:textId="77777777" w:rsidTr="00177607">
        <w:tc>
          <w:tcPr>
            <w:tcW w:w="3249" w:type="dxa"/>
          </w:tcPr>
          <w:p w14:paraId="6D90A1DD" w14:textId="77777777" w:rsidR="00177607" w:rsidRPr="00AC1DC9" w:rsidRDefault="00177607" w:rsidP="004A144B">
            <w:pPr>
              <w:pStyle w:val="Standard1"/>
              <w:numPr>
                <w:ilvl w:val="0"/>
                <w:numId w:val="24"/>
              </w:numPr>
              <w:spacing w:before="120" w:beforeAutospacing="0" w:after="120" w:afterAutospacing="0" w:line="300" w:lineRule="auto"/>
              <w:ind w:left="357" w:hanging="357"/>
              <w:rPr>
                <w:rFonts w:ascii="Verdana" w:hAnsi="Verdana" w:cs="Arial"/>
                <w:sz w:val="18"/>
                <w:szCs w:val="18"/>
              </w:rPr>
            </w:pPr>
            <w:r w:rsidRPr="00AC1DC9">
              <w:rPr>
                <w:rFonts w:ascii="Verdana" w:hAnsi="Verdana" w:cs="Arial"/>
                <w:sz w:val="18"/>
                <w:szCs w:val="18"/>
              </w:rPr>
              <w:t>Wettbewerbsbedingungen</w:t>
            </w:r>
          </w:p>
          <w:p w14:paraId="609E7D5D" w14:textId="77777777" w:rsidR="00177607" w:rsidRPr="00AC1DC9" w:rsidRDefault="00177607" w:rsidP="00177607">
            <w:pPr>
              <w:pStyle w:val="Standard1"/>
              <w:numPr>
                <w:ilvl w:val="0"/>
                <w:numId w:val="24"/>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Ausgaben z. B. für Sozialversicherungsbeiträge, Steuern und Löhne</w:t>
            </w:r>
          </w:p>
          <w:p w14:paraId="3B3C5026" w14:textId="77777777" w:rsidR="00177607" w:rsidRPr="00AC1DC9" w:rsidRDefault="00177607" w:rsidP="00177607">
            <w:pPr>
              <w:pStyle w:val="Standard1"/>
              <w:numPr>
                <w:ilvl w:val="0"/>
                <w:numId w:val="24"/>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Produktionskosten</w:t>
            </w:r>
          </w:p>
          <w:p w14:paraId="13DB82D8" w14:textId="77777777" w:rsidR="00177607" w:rsidRPr="00AC1DC9" w:rsidRDefault="00177607" w:rsidP="00177607">
            <w:pPr>
              <w:pStyle w:val="Standard1"/>
              <w:numPr>
                <w:ilvl w:val="0"/>
                <w:numId w:val="24"/>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Regulierung und Bürokratie</w:t>
            </w:r>
          </w:p>
          <w:p w14:paraId="6737656B" w14:textId="77777777" w:rsidR="00177607" w:rsidRPr="00AC1DC9" w:rsidRDefault="00177607" w:rsidP="00177607">
            <w:pPr>
              <w:pStyle w:val="Standard1"/>
              <w:numPr>
                <w:ilvl w:val="0"/>
                <w:numId w:val="24"/>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Rechtssicherheit</w:t>
            </w:r>
          </w:p>
          <w:p w14:paraId="533AA89D" w14:textId="77777777" w:rsidR="00177607" w:rsidRPr="00AC1DC9" w:rsidRDefault="00177607" w:rsidP="00177607">
            <w:pPr>
              <w:pStyle w:val="Standard1"/>
              <w:numPr>
                <w:ilvl w:val="0"/>
                <w:numId w:val="24"/>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Fachkräftebedarf</w:t>
            </w:r>
          </w:p>
        </w:tc>
        <w:tc>
          <w:tcPr>
            <w:tcW w:w="3113" w:type="dxa"/>
          </w:tcPr>
          <w:p w14:paraId="0C637AB6" w14:textId="77777777" w:rsidR="00177607" w:rsidRPr="00AC1DC9" w:rsidRDefault="00177607" w:rsidP="004A144B">
            <w:pPr>
              <w:pStyle w:val="Standard1"/>
              <w:numPr>
                <w:ilvl w:val="0"/>
                <w:numId w:val="25"/>
              </w:numPr>
              <w:spacing w:before="120" w:beforeAutospacing="0" w:after="120" w:afterAutospacing="0" w:line="300" w:lineRule="auto"/>
              <w:ind w:left="357" w:hanging="357"/>
              <w:rPr>
                <w:rFonts w:ascii="Verdana" w:hAnsi="Verdana" w:cs="Arial"/>
                <w:sz w:val="18"/>
                <w:szCs w:val="18"/>
              </w:rPr>
            </w:pPr>
            <w:r w:rsidRPr="00AC1DC9">
              <w:rPr>
                <w:rFonts w:ascii="Verdana" w:hAnsi="Verdana" w:cs="Arial"/>
                <w:sz w:val="18"/>
                <w:szCs w:val="18"/>
              </w:rPr>
              <w:t>soziale Absicherung</w:t>
            </w:r>
          </w:p>
          <w:p w14:paraId="5F674C44" w14:textId="77777777" w:rsidR="00177607" w:rsidRPr="00AC1DC9" w:rsidRDefault="00177607" w:rsidP="00177607">
            <w:pPr>
              <w:pStyle w:val="Standard1"/>
              <w:numPr>
                <w:ilvl w:val="0"/>
                <w:numId w:val="25"/>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Arbeitsbedingungen</w:t>
            </w:r>
          </w:p>
          <w:p w14:paraId="18E5B6BB" w14:textId="77777777" w:rsidR="00177607" w:rsidRPr="00AC1DC9" w:rsidRDefault="00177607" w:rsidP="00177607">
            <w:pPr>
              <w:pStyle w:val="Standard1"/>
              <w:numPr>
                <w:ilvl w:val="0"/>
                <w:numId w:val="25"/>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Arbeitsmarktbedingungen</w:t>
            </w:r>
          </w:p>
          <w:p w14:paraId="3F9FD83C" w14:textId="77777777" w:rsidR="00177607" w:rsidRPr="00AC1DC9" w:rsidRDefault="00177607" w:rsidP="00177607">
            <w:pPr>
              <w:pStyle w:val="Standard1"/>
              <w:numPr>
                <w:ilvl w:val="0"/>
                <w:numId w:val="25"/>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Sozialversicherungsbeiträge und Steuern</w:t>
            </w:r>
          </w:p>
          <w:p w14:paraId="72374764" w14:textId="77777777" w:rsidR="00177607" w:rsidRPr="00AC1DC9" w:rsidRDefault="00177607" w:rsidP="00646D81">
            <w:pPr>
              <w:pStyle w:val="Standard1"/>
              <w:spacing w:before="0" w:beforeAutospacing="0" w:after="120" w:afterAutospacing="0" w:line="300" w:lineRule="auto"/>
              <w:rPr>
                <w:rFonts w:ascii="Verdana" w:hAnsi="Verdana" w:cs="Arial"/>
                <w:sz w:val="18"/>
                <w:szCs w:val="18"/>
              </w:rPr>
            </w:pPr>
          </w:p>
        </w:tc>
        <w:tc>
          <w:tcPr>
            <w:tcW w:w="2705" w:type="dxa"/>
          </w:tcPr>
          <w:p w14:paraId="4DBAC01D" w14:textId="77777777" w:rsidR="00177607" w:rsidRPr="00AC1DC9" w:rsidRDefault="00177607" w:rsidP="004A144B">
            <w:pPr>
              <w:pStyle w:val="Standard1"/>
              <w:numPr>
                <w:ilvl w:val="0"/>
                <w:numId w:val="26"/>
              </w:numPr>
              <w:spacing w:before="120" w:beforeAutospacing="0" w:after="120" w:afterAutospacing="0" w:line="300" w:lineRule="auto"/>
              <w:ind w:left="357" w:hanging="357"/>
              <w:rPr>
                <w:rFonts w:ascii="Verdana" w:hAnsi="Verdana" w:cs="Arial"/>
                <w:sz w:val="18"/>
                <w:szCs w:val="18"/>
              </w:rPr>
            </w:pPr>
            <w:r w:rsidRPr="00AC1DC9">
              <w:rPr>
                <w:rFonts w:ascii="Verdana" w:hAnsi="Verdana" w:cs="Arial"/>
                <w:sz w:val="18"/>
                <w:szCs w:val="18"/>
              </w:rPr>
              <w:t>Preise</w:t>
            </w:r>
          </w:p>
          <w:p w14:paraId="1068EAE2" w14:textId="77777777" w:rsidR="00177607" w:rsidRPr="00AC1DC9" w:rsidRDefault="00177607" w:rsidP="00177607">
            <w:pPr>
              <w:pStyle w:val="Standard1"/>
              <w:numPr>
                <w:ilvl w:val="0"/>
                <w:numId w:val="26"/>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Auswahl</w:t>
            </w:r>
          </w:p>
          <w:p w14:paraId="2407AB7B" w14:textId="77777777" w:rsidR="00177607" w:rsidRPr="00AC1DC9" w:rsidRDefault="00177607" w:rsidP="00177607">
            <w:pPr>
              <w:pStyle w:val="Standard1"/>
              <w:numPr>
                <w:ilvl w:val="0"/>
                <w:numId w:val="26"/>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 xml:space="preserve">„gutes Gewissen“ beim </w:t>
            </w:r>
            <w:r w:rsidRPr="00AC1DC9">
              <w:rPr>
                <w:rFonts w:ascii="Verdana" w:hAnsi="Verdana" w:cs="Arial"/>
                <w:sz w:val="18"/>
                <w:szCs w:val="18"/>
              </w:rPr>
              <w:br/>
              <w:t xml:space="preserve">Einkaufen oder der </w:t>
            </w:r>
            <w:r w:rsidRPr="00AC1DC9">
              <w:rPr>
                <w:rFonts w:ascii="Verdana" w:hAnsi="Verdana" w:cs="Arial"/>
                <w:sz w:val="18"/>
                <w:szCs w:val="18"/>
              </w:rPr>
              <w:br/>
              <w:t xml:space="preserve">Inanspruchnahme von </w:t>
            </w:r>
            <w:r w:rsidRPr="00AC1DC9">
              <w:rPr>
                <w:rFonts w:ascii="Verdana" w:hAnsi="Verdana" w:cs="Arial"/>
                <w:sz w:val="18"/>
                <w:szCs w:val="18"/>
              </w:rPr>
              <w:br/>
              <w:t>Dienstleistungen</w:t>
            </w:r>
          </w:p>
          <w:p w14:paraId="554A5D2E" w14:textId="77777777" w:rsidR="00177607" w:rsidRPr="00AC1DC9" w:rsidRDefault="00177607" w:rsidP="00177607">
            <w:pPr>
              <w:pStyle w:val="Standard1"/>
              <w:numPr>
                <w:ilvl w:val="0"/>
                <w:numId w:val="26"/>
              </w:numPr>
              <w:spacing w:before="0" w:beforeAutospacing="0" w:after="120" w:afterAutospacing="0" w:line="300" w:lineRule="auto"/>
              <w:rPr>
                <w:rFonts w:ascii="Verdana" w:hAnsi="Verdana" w:cs="Arial"/>
                <w:sz w:val="18"/>
                <w:szCs w:val="18"/>
              </w:rPr>
            </w:pPr>
            <w:r w:rsidRPr="00AC1DC9">
              <w:rPr>
                <w:rFonts w:ascii="Verdana" w:hAnsi="Verdana" w:cs="Arial"/>
                <w:sz w:val="18"/>
                <w:szCs w:val="18"/>
              </w:rPr>
              <w:t>Kaufkraft</w:t>
            </w:r>
          </w:p>
          <w:p w14:paraId="20E5A333" w14:textId="77777777" w:rsidR="00177607" w:rsidRPr="00AC1DC9" w:rsidRDefault="00177607" w:rsidP="00646D81">
            <w:pPr>
              <w:pStyle w:val="Standard1"/>
              <w:spacing w:before="0" w:beforeAutospacing="0" w:after="120" w:afterAutospacing="0" w:line="300" w:lineRule="auto"/>
              <w:rPr>
                <w:rFonts w:ascii="Verdana" w:hAnsi="Verdana" w:cs="Arial"/>
                <w:sz w:val="18"/>
                <w:szCs w:val="18"/>
              </w:rPr>
            </w:pPr>
          </w:p>
        </w:tc>
      </w:tr>
    </w:tbl>
    <w:p w14:paraId="75D0B53C" w14:textId="77777777" w:rsidR="00177607" w:rsidRPr="00AC1DC9" w:rsidRDefault="00177607" w:rsidP="00177607">
      <w:pPr>
        <w:pStyle w:val="Standard1"/>
        <w:spacing w:before="0" w:beforeAutospacing="0" w:after="120" w:afterAutospacing="0" w:line="300" w:lineRule="auto"/>
        <w:rPr>
          <w:rFonts w:ascii="Verdana" w:hAnsi="Verdana" w:cs="Arial"/>
          <w:sz w:val="18"/>
          <w:szCs w:val="18"/>
        </w:rPr>
      </w:pPr>
    </w:p>
    <w:p w14:paraId="62C5A42C" w14:textId="77777777" w:rsidR="00177607" w:rsidRPr="007574B0" w:rsidRDefault="00177607" w:rsidP="00177607">
      <w:pPr>
        <w:pStyle w:val="Standard1"/>
        <w:spacing w:before="0" w:beforeAutospacing="0" w:after="120" w:afterAutospacing="0" w:line="300" w:lineRule="auto"/>
        <w:rPr>
          <w:rFonts w:ascii="Verdana" w:hAnsi="Verdana" w:cstheme="minorHAnsi"/>
          <w:b/>
          <w:sz w:val="18"/>
          <w:szCs w:val="18"/>
        </w:rPr>
      </w:pPr>
      <w:r w:rsidRPr="007574B0">
        <w:rPr>
          <w:rFonts w:ascii="Verdana" w:hAnsi="Verdana" w:cstheme="minorHAnsi"/>
          <w:b/>
          <w:sz w:val="18"/>
          <w:szCs w:val="18"/>
        </w:rPr>
        <w:t>Weitere Informationen:</w:t>
      </w:r>
    </w:p>
    <w:p w14:paraId="5338230B" w14:textId="77777777" w:rsidR="00177607" w:rsidRPr="00AC1DC9" w:rsidRDefault="00177607" w:rsidP="00177607">
      <w:pPr>
        <w:pStyle w:val="Standard1"/>
        <w:spacing w:before="0" w:beforeAutospacing="0" w:after="120" w:afterAutospacing="0" w:line="300" w:lineRule="auto"/>
        <w:rPr>
          <w:rFonts w:ascii="Verdana" w:hAnsi="Verdana" w:cstheme="minorHAnsi"/>
          <w:sz w:val="18"/>
          <w:szCs w:val="18"/>
        </w:rPr>
      </w:pPr>
      <w:r w:rsidRPr="00AC1DC9">
        <w:rPr>
          <w:rFonts w:ascii="Verdana" w:hAnsi="Verdana" w:cstheme="minorHAnsi"/>
          <w:sz w:val="18"/>
          <w:szCs w:val="18"/>
        </w:rPr>
        <w:t>Unterrichtsthema Europäische Union:</w:t>
      </w:r>
    </w:p>
    <w:p w14:paraId="2BA54EE3" w14:textId="77777777" w:rsidR="00177607" w:rsidRPr="00AC1DC9" w:rsidRDefault="00F86938" w:rsidP="00177607">
      <w:pPr>
        <w:pStyle w:val="Standard1"/>
        <w:spacing w:before="0" w:beforeAutospacing="0" w:after="120" w:afterAutospacing="0" w:line="300" w:lineRule="auto"/>
        <w:rPr>
          <w:rFonts w:ascii="Verdana" w:hAnsi="Verdana" w:cstheme="minorHAnsi"/>
          <w:sz w:val="18"/>
          <w:szCs w:val="18"/>
        </w:rPr>
      </w:pPr>
      <w:hyperlink r:id="rId9" w:history="1">
        <w:r w:rsidR="00177607" w:rsidRPr="00AC1DC9">
          <w:rPr>
            <w:rStyle w:val="Hyperlink"/>
            <w:rFonts w:ascii="Verdana" w:hAnsi="Verdana" w:cstheme="minorHAnsi"/>
            <w:sz w:val="18"/>
            <w:szCs w:val="18"/>
          </w:rPr>
          <w:t>https://www.bpb.de/lernen/themen-im-unterricht/europaeische-union/</w:t>
        </w:r>
      </w:hyperlink>
    </w:p>
    <w:p w14:paraId="7FD037E6" w14:textId="77777777" w:rsidR="00177607" w:rsidRPr="00AC1DC9" w:rsidRDefault="00177607" w:rsidP="00177607">
      <w:pPr>
        <w:pStyle w:val="Standard1"/>
        <w:spacing w:before="0" w:beforeAutospacing="0" w:after="120" w:afterAutospacing="0" w:line="300" w:lineRule="auto"/>
        <w:rPr>
          <w:rFonts w:ascii="Verdana" w:hAnsi="Verdana" w:cstheme="minorHAnsi"/>
          <w:sz w:val="18"/>
          <w:szCs w:val="18"/>
        </w:rPr>
      </w:pPr>
      <w:r w:rsidRPr="00AC1DC9">
        <w:rPr>
          <w:rFonts w:ascii="Verdana" w:hAnsi="Verdana" w:cstheme="minorHAnsi"/>
          <w:sz w:val="18"/>
          <w:szCs w:val="18"/>
        </w:rPr>
        <w:t>Europäische Sozialpolitik:</w:t>
      </w:r>
    </w:p>
    <w:p w14:paraId="71FD5FCC" w14:textId="77777777" w:rsidR="00177607" w:rsidRPr="00AC1DC9" w:rsidRDefault="00F86938" w:rsidP="00177607">
      <w:pPr>
        <w:pStyle w:val="Standard1"/>
        <w:spacing w:before="0" w:beforeAutospacing="0" w:after="120" w:afterAutospacing="0" w:line="300" w:lineRule="auto"/>
        <w:rPr>
          <w:rFonts w:ascii="Verdana" w:hAnsi="Verdana" w:cstheme="minorHAnsi"/>
          <w:sz w:val="18"/>
          <w:szCs w:val="18"/>
        </w:rPr>
      </w:pPr>
      <w:hyperlink r:id="rId10" w:history="1">
        <w:r w:rsidR="00177607" w:rsidRPr="00AC1DC9">
          <w:rPr>
            <w:rStyle w:val="Hyperlink"/>
            <w:rFonts w:ascii="Verdana" w:hAnsi="Verdana" w:cstheme="minorHAnsi"/>
            <w:sz w:val="18"/>
            <w:szCs w:val="18"/>
          </w:rPr>
          <w:t>https://www.europarl.europa.eu/news/de/headlines/eu-affairs/20170616STO77648/soziales-europa-die-sozialpolitik-der-eu</w:t>
        </w:r>
      </w:hyperlink>
    </w:p>
    <w:p w14:paraId="20510F05" w14:textId="77777777" w:rsidR="00177607" w:rsidRPr="00AC1DC9" w:rsidRDefault="00F86938" w:rsidP="00177607">
      <w:pPr>
        <w:pStyle w:val="Standard1"/>
        <w:spacing w:before="0" w:beforeAutospacing="0" w:after="120" w:afterAutospacing="0" w:line="300" w:lineRule="auto"/>
        <w:rPr>
          <w:rFonts w:ascii="Verdana" w:hAnsi="Verdana" w:cstheme="minorHAnsi"/>
          <w:sz w:val="18"/>
          <w:szCs w:val="18"/>
        </w:rPr>
      </w:pPr>
      <w:hyperlink r:id="rId11" w:history="1">
        <w:r w:rsidR="00177607" w:rsidRPr="00AC1DC9">
          <w:rPr>
            <w:rStyle w:val="Hyperlink"/>
            <w:rFonts w:ascii="Verdana" w:hAnsi="Verdana" w:cstheme="minorHAnsi"/>
            <w:sz w:val="18"/>
            <w:szCs w:val="18"/>
          </w:rPr>
          <w:t>https://www.bmas.de/DE/Themen/Soziales-Europa-und-Internationales/Europa/Europaeische-Sozialpolitik/europaeische-sozialpolitik.html</w:t>
        </w:r>
      </w:hyperlink>
    </w:p>
    <w:p w14:paraId="68BB9F89" w14:textId="6686999A" w:rsidR="00177607" w:rsidRPr="00177607" w:rsidRDefault="00177607" w:rsidP="00177607">
      <w:pPr>
        <w:rPr>
          <w:rFonts w:ascii="Verdana" w:hAnsi="Verdana"/>
          <w:b/>
          <w:bCs/>
          <w:sz w:val="18"/>
          <w:szCs w:val="18"/>
        </w:rPr>
      </w:pPr>
    </w:p>
    <w:sectPr w:rsidR="00177607" w:rsidRPr="00177607" w:rsidSect="00D864B1">
      <w:headerReference w:type="even" r:id="rId12"/>
      <w:headerReference w:type="default" r:id="rId13"/>
      <w:footerReference w:type="even" r:id="rId14"/>
      <w:footerReference w:type="default" r:id="rId15"/>
      <w:headerReference w:type="first" r:id="rId16"/>
      <w:footerReference w:type="first" r:id="rId17"/>
      <w:pgSz w:w="11900" w:h="16840"/>
      <w:pgMar w:top="560"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F7758" w14:textId="77777777" w:rsidR="00E45ABC" w:rsidRDefault="00E45ABC">
      <w:r>
        <w:separator/>
      </w:r>
    </w:p>
  </w:endnote>
  <w:endnote w:type="continuationSeparator" w:id="0">
    <w:p w14:paraId="67084052" w14:textId="77777777" w:rsidR="00E45ABC" w:rsidRDefault="00E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A056" w14:textId="77777777" w:rsidR="00666354" w:rsidRDefault="006663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E437" w14:textId="0597D4CC" w:rsidR="00930ACB" w:rsidRPr="00131FEC" w:rsidRDefault="00565AC2" w:rsidP="00F35ECF">
    <w:pPr>
      <w:tabs>
        <w:tab w:val="right" w:pos="8789"/>
      </w:tabs>
      <w:rPr>
        <w:rFonts w:ascii="Verdana" w:hAnsi="Verdana"/>
        <w:color w:val="000000" w:themeColor="text1"/>
        <w:sz w:val="16"/>
        <w:szCs w:val="16"/>
        <w:u w:val="single"/>
      </w:rPr>
    </w:pPr>
    <w:r w:rsidRPr="00131FEC">
      <w:rPr>
        <w:rFonts w:ascii="Verdana" w:hAnsi="Verdana"/>
        <w:color w:val="000000" w:themeColor="text1"/>
        <w:sz w:val="16"/>
        <w:szCs w:val="16"/>
        <w:u w:val="single"/>
      </w:rPr>
      <w:t xml:space="preserve">© </w:t>
    </w:r>
    <w:r w:rsidR="00901D4E" w:rsidRPr="00131FEC">
      <w:rPr>
        <w:rFonts w:ascii="Verdana" w:hAnsi="Verdana"/>
        <w:color w:val="000000" w:themeColor="text1"/>
        <w:sz w:val="16"/>
        <w:szCs w:val="16"/>
        <w:u w:val="single"/>
      </w:rPr>
      <w:t>BMAS</w:t>
    </w:r>
    <w:r w:rsidR="003E2E42">
      <w:rPr>
        <w:rFonts w:ascii="Verdana" w:hAnsi="Verdana"/>
        <w:color w:val="000000" w:themeColor="text1"/>
        <w:sz w:val="16"/>
        <w:szCs w:val="16"/>
        <w:u w:val="single"/>
      </w:rPr>
      <w:t xml:space="preserve"> </w:t>
    </w:r>
    <w:r w:rsidR="00131FEC" w:rsidRPr="00131FEC">
      <w:rPr>
        <w:rFonts w:ascii="Verdana" w:hAnsi="Verdana"/>
        <w:color w:val="000000" w:themeColor="text1"/>
        <w:sz w:val="16"/>
        <w:szCs w:val="16"/>
        <w:u w:val="single"/>
      </w:rPr>
      <w:t>und Klett MINT.</w:t>
    </w:r>
    <w:r w:rsidRPr="00131FEC">
      <w:rPr>
        <w:rFonts w:ascii="Verdana" w:hAnsi="Verdana"/>
        <w:color w:val="000000" w:themeColor="text1"/>
        <w:sz w:val="16"/>
        <w:szCs w:val="16"/>
        <w:u w:val="single"/>
      </w:rPr>
      <w:t xml:space="preserve"> </w:t>
    </w:r>
    <w:r w:rsidR="00D2374C">
      <w:rPr>
        <w:rFonts w:ascii="Verdana" w:hAnsi="Verdana"/>
        <w:color w:val="000000" w:themeColor="text1"/>
        <w:sz w:val="16"/>
        <w:szCs w:val="16"/>
        <w:u w:val="single"/>
      </w:rPr>
      <w:t xml:space="preserve">Stand </w:t>
    </w:r>
    <w:r w:rsidR="00666354">
      <w:rPr>
        <w:rFonts w:ascii="Verdana" w:hAnsi="Verdana"/>
        <w:color w:val="000000" w:themeColor="text1"/>
        <w:sz w:val="16"/>
        <w:szCs w:val="16"/>
        <w:u w:val="single"/>
      </w:rPr>
      <w:t>April 2020</w:t>
    </w:r>
    <w:r w:rsidR="00D2374C">
      <w:rPr>
        <w:rFonts w:ascii="Verdana" w:hAnsi="Verdana"/>
        <w:color w:val="000000" w:themeColor="text1"/>
        <w:sz w:val="16"/>
        <w:szCs w:val="16"/>
        <w:u w:val="single"/>
      </w:rPr>
      <w:t xml:space="preserve">. </w:t>
    </w:r>
    <w:r w:rsidRPr="00131FEC">
      <w:rPr>
        <w:rFonts w:ascii="Verdana" w:hAnsi="Verdana"/>
        <w:color w:val="000000" w:themeColor="text1"/>
        <w:sz w:val="16"/>
        <w:szCs w:val="16"/>
        <w:u w:val="single"/>
      </w:rPr>
      <w:t>Als Kopiervorlage freigegeben</w:t>
    </w:r>
    <w:r w:rsidR="00D2374C">
      <w:rPr>
        <w:rFonts w:ascii="Verdana" w:hAnsi="Verdana"/>
        <w:color w:val="000000" w:themeColor="text1"/>
        <w:sz w:val="16"/>
        <w:szCs w:val="16"/>
        <w:u w:val="single"/>
      </w:rPr>
      <w:t>.</w:t>
    </w:r>
    <w:r w:rsidR="00930ACB" w:rsidRPr="00131FEC">
      <w:rPr>
        <w:rFonts w:ascii="Verdana" w:hAnsi="Verdana"/>
        <w:color w:val="000000" w:themeColor="text1"/>
        <w:sz w:val="16"/>
        <w:szCs w:val="16"/>
        <w:u w:val="single"/>
      </w:rPr>
      <w:tab/>
      <w:t xml:space="preserve">Seite </w:t>
    </w:r>
    <w:r w:rsidR="0095249F" w:rsidRPr="00131FEC">
      <w:rPr>
        <w:rFonts w:ascii="Verdana" w:hAnsi="Verdana"/>
        <w:color w:val="000000" w:themeColor="text1"/>
        <w:sz w:val="16"/>
        <w:szCs w:val="16"/>
        <w:u w:val="single"/>
      </w:rPr>
      <w:fldChar w:fldCharType="begin"/>
    </w:r>
    <w:r w:rsidR="00930ACB" w:rsidRPr="00131FEC">
      <w:rPr>
        <w:rFonts w:ascii="Verdana" w:hAnsi="Verdana"/>
        <w:color w:val="000000" w:themeColor="text1"/>
        <w:sz w:val="16"/>
        <w:szCs w:val="16"/>
        <w:u w:val="single"/>
      </w:rPr>
      <w:instrText xml:space="preserve"> PAGE </w:instrText>
    </w:r>
    <w:r w:rsidR="0095249F" w:rsidRPr="00131FEC">
      <w:rPr>
        <w:rFonts w:ascii="Verdana" w:hAnsi="Verdana"/>
        <w:color w:val="000000" w:themeColor="text1"/>
        <w:sz w:val="16"/>
        <w:szCs w:val="16"/>
        <w:u w:val="single"/>
      </w:rPr>
      <w:fldChar w:fldCharType="separate"/>
    </w:r>
    <w:r w:rsidR="00F86938">
      <w:rPr>
        <w:rFonts w:ascii="Verdana" w:hAnsi="Verdana"/>
        <w:noProof/>
        <w:color w:val="000000" w:themeColor="text1"/>
        <w:sz w:val="16"/>
        <w:szCs w:val="16"/>
        <w:u w:val="single"/>
      </w:rPr>
      <w:t>2</w:t>
    </w:r>
    <w:r w:rsidR="0095249F" w:rsidRPr="00131FEC">
      <w:rPr>
        <w:rFonts w:ascii="Verdana" w:hAnsi="Verdana"/>
        <w:color w:val="000000" w:themeColor="text1"/>
        <w:sz w:val="16"/>
        <w:szCs w:val="16"/>
        <w:u w:val="single"/>
      </w:rPr>
      <w:fldChar w:fldCharType="end"/>
    </w:r>
    <w:r w:rsidR="00930ACB" w:rsidRPr="00131FEC">
      <w:rPr>
        <w:rFonts w:ascii="Verdana" w:hAnsi="Verdana"/>
        <w:color w:val="000000" w:themeColor="text1"/>
        <w:sz w:val="16"/>
        <w:szCs w:val="16"/>
        <w:u w:val="single"/>
      </w:rPr>
      <w:t xml:space="preserve"> von </w:t>
    </w:r>
    <w:r w:rsidR="0095249F" w:rsidRPr="00131FEC">
      <w:rPr>
        <w:rFonts w:ascii="Verdana" w:hAnsi="Verdana"/>
        <w:color w:val="000000" w:themeColor="text1"/>
        <w:sz w:val="16"/>
        <w:szCs w:val="16"/>
        <w:u w:val="single"/>
      </w:rPr>
      <w:fldChar w:fldCharType="begin"/>
    </w:r>
    <w:r w:rsidR="00930ACB" w:rsidRPr="00131FEC">
      <w:rPr>
        <w:rFonts w:ascii="Verdana" w:hAnsi="Verdana"/>
        <w:color w:val="000000" w:themeColor="text1"/>
        <w:sz w:val="16"/>
        <w:szCs w:val="16"/>
        <w:u w:val="single"/>
      </w:rPr>
      <w:instrText xml:space="preserve"> NUMPAGES </w:instrText>
    </w:r>
    <w:r w:rsidR="0095249F" w:rsidRPr="00131FEC">
      <w:rPr>
        <w:rFonts w:ascii="Verdana" w:hAnsi="Verdana"/>
        <w:color w:val="000000" w:themeColor="text1"/>
        <w:sz w:val="16"/>
        <w:szCs w:val="16"/>
        <w:u w:val="single"/>
      </w:rPr>
      <w:fldChar w:fldCharType="separate"/>
    </w:r>
    <w:r w:rsidR="00F86938">
      <w:rPr>
        <w:rFonts w:ascii="Verdana" w:hAnsi="Verdana"/>
        <w:noProof/>
        <w:color w:val="000000" w:themeColor="text1"/>
        <w:sz w:val="16"/>
        <w:szCs w:val="16"/>
        <w:u w:val="single"/>
      </w:rPr>
      <w:t>4</w:t>
    </w:r>
    <w:r w:rsidR="0095249F" w:rsidRPr="00131FEC">
      <w:rPr>
        <w:rFonts w:ascii="Verdana" w:hAnsi="Verdana"/>
        <w:color w:val="000000" w:themeColor="text1"/>
        <w:sz w:val="16"/>
        <w:szCs w:val="16"/>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5912" w14:textId="4C4C5FAB" w:rsidR="00312937" w:rsidRPr="00312937" w:rsidRDefault="00312937" w:rsidP="00312937">
    <w:pPr>
      <w:tabs>
        <w:tab w:val="right" w:pos="8789"/>
      </w:tabs>
      <w:rPr>
        <w:rFonts w:ascii="Verdana" w:hAnsi="Verdana"/>
        <w:color w:val="000000" w:themeColor="text1"/>
        <w:sz w:val="16"/>
        <w:szCs w:val="16"/>
        <w:u w:val="single"/>
      </w:rPr>
    </w:pPr>
    <w:r w:rsidRPr="00131FEC">
      <w:rPr>
        <w:rFonts w:ascii="Verdana" w:hAnsi="Verdana"/>
        <w:color w:val="000000" w:themeColor="text1"/>
        <w:sz w:val="16"/>
        <w:szCs w:val="16"/>
        <w:u w:val="single"/>
      </w:rPr>
      <w:t>© BMAS</w:t>
    </w:r>
    <w:r>
      <w:rPr>
        <w:rFonts w:ascii="Verdana" w:hAnsi="Verdana"/>
        <w:color w:val="000000" w:themeColor="text1"/>
        <w:sz w:val="16"/>
        <w:szCs w:val="16"/>
        <w:u w:val="single"/>
      </w:rPr>
      <w:t xml:space="preserve"> </w:t>
    </w:r>
    <w:r w:rsidRPr="00131FEC">
      <w:rPr>
        <w:rFonts w:ascii="Verdana" w:hAnsi="Verdana"/>
        <w:color w:val="000000" w:themeColor="text1"/>
        <w:sz w:val="16"/>
        <w:szCs w:val="16"/>
        <w:u w:val="single"/>
      </w:rPr>
      <w:t xml:space="preserve">und Klett MINT. </w:t>
    </w:r>
    <w:r>
      <w:rPr>
        <w:rFonts w:ascii="Verdana" w:hAnsi="Verdana"/>
        <w:color w:val="000000" w:themeColor="text1"/>
        <w:sz w:val="16"/>
        <w:szCs w:val="16"/>
        <w:u w:val="single"/>
      </w:rPr>
      <w:t>Stand</w:t>
    </w:r>
    <w:r w:rsidR="002C008D">
      <w:rPr>
        <w:rFonts w:ascii="Verdana" w:hAnsi="Verdana"/>
        <w:color w:val="000000" w:themeColor="text1"/>
        <w:sz w:val="16"/>
        <w:szCs w:val="16"/>
        <w:u w:val="single"/>
      </w:rPr>
      <w:t xml:space="preserve"> April</w:t>
    </w:r>
    <w:r>
      <w:rPr>
        <w:rFonts w:ascii="Verdana" w:hAnsi="Verdana"/>
        <w:color w:val="000000" w:themeColor="text1"/>
        <w:sz w:val="16"/>
        <w:szCs w:val="16"/>
        <w:u w:val="single"/>
      </w:rPr>
      <w:t xml:space="preserve"> 20</w:t>
    </w:r>
    <w:r w:rsidR="002C008D">
      <w:rPr>
        <w:rFonts w:ascii="Verdana" w:hAnsi="Verdana"/>
        <w:color w:val="000000" w:themeColor="text1"/>
        <w:sz w:val="16"/>
        <w:szCs w:val="16"/>
        <w:u w:val="single"/>
      </w:rPr>
      <w:t>20</w:t>
    </w:r>
    <w:r>
      <w:rPr>
        <w:rFonts w:ascii="Verdana" w:hAnsi="Verdana"/>
        <w:color w:val="000000" w:themeColor="text1"/>
        <w:sz w:val="16"/>
        <w:szCs w:val="16"/>
        <w:u w:val="single"/>
      </w:rPr>
      <w:t xml:space="preserve">. </w:t>
    </w:r>
    <w:r w:rsidRPr="00131FEC">
      <w:rPr>
        <w:rFonts w:ascii="Verdana" w:hAnsi="Verdana"/>
        <w:color w:val="000000" w:themeColor="text1"/>
        <w:sz w:val="16"/>
        <w:szCs w:val="16"/>
        <w:u w:val="single"/>
      </w:rPr>
      <w:t>Als Kopiervorlage freigegeben</w:t>
    </w:r>
    <w:r>
      <w:rPr>
        <w:rFonts w:ascii="Verdana" w:hAnsi="Verdana"/>
        <w:color w:val="000000" w:themeColor="text1"/>
        <w:sz w:val="16"/>
        <w:szCs w:val="16"/>
        <w:u w:val="single"/>
      </w:rPr>
      <w:t>.</w:t>
    </w:r>
    <w:r w:rsidRPr="00131FEC">
      <w:rPr>
        <w:rFonts w:ascii="Verdana" w:hAnsi="Verdana"/>
        <w:color w:val="000000" w:themeColor="text1"/>
        <w:sz w:val="16"/>
        <w:szCs w:val="16"/>
        <w:u w:val="single"/>
      </w:rPr>
      <w:tab/>
      <w:t xml:space="preserve">Seite </w:t>
    </w:r>
    <w:r w:rsidRPr="00131FEC">
      <w:rPr>
        <w:rFonts w:ascii="Verdana" w:hAnsi="Verdana"/>
        <w:color w:val="000000" w:themeColor="text1"/>
        <w:sz w:val="16"/>
        <w:szCs w:val="16"/>
        <w:u w:val="single"/>
      </w:rPr>
      <w:fldChar w:fldCharType="begin"/>
    </w:r>
    <w:r w:rsidRPr="00131FEC">
      <w:rPr>
        <w:rFonts w:ascii="Verdana" w:hAnsi="Verdana"/>
        <w:color w:val="000000" w:themeColor="text1"/>
        <w:sz w:val="16"/>
        <w:szCs w:val="16"/>
        <w:u w:val="single"/>
      </w:rPr>
      <w:instrText xml:space="preserve"> PAGE </w:instrText>
    </w:r>
    <w:r w:rsidRPr="00131FEC">
      <w:rPr>
        <w:rFonts w:ascii="Verdana" w:hAnsi="Verdana"/>
        <w:color w:val="000000" w:themeColor="text1"/>
        <w:sz w:val="16"/>
        <w:szCs w:val="16"/>
        <w:u w:val="single"/>
      </w:rPr>
      <w:fldChar w:fldCharType="separate"/>
    </w:r>
    <w:r w:rsidR="00A90173">
      <w:rPr>
        <w:rFonts w:ascii="Verdana" w:hAnsi="Verdana"/>
        <w:noProof/>
        <w:color w:val="000000" w:themeColor="text1"/>
        <w:sz w:val="16"/>
        <w:szCs w:val="16"/>
        <w:u w:val="single"/>
      </w:rPr>
      <w:t>1</w:t>
    </w:r>
    <w:r w:rsidRPr="00131FEC">
      <w:rPr>
        <w:rFonts w:ascii="Verdana" w:hAnsi="Verdana"/>
        <w:color w:val="000000" w:themeColor="text1"/>
        <w:sz w:val="16"/>
        <w:szCs w:val="16"/>
        <w:u w:val="single"/>
      </w:rPr>
      <w:fldChar w:fldCharType="end"/>
    </w:r>
    <w:r w:rsidRPr="00131FEC">
      <w:rPr>
        <w:rFonts w:ascii="Verdana" w:hAnsi="Verdana"/>
        <w:color w:val="000000" w:themeColor="text1"/>
        <w:sz w:val="16"/>
        <w:szCs w:val="16"/>
        <w:u w:val="single"/>
      </w:rPr>
      <w:t xml:space="preserve"> von </w:t>
    </w:r>
    <w:r w:rsidRPr="00131FEC">
      <w:rPr>
        <w:rFonts w:ascii="Verdana" w:hAnsi="Verdana"/>
        <w:color w:val="000000" w:themeColor="text1"/>
        <w:sz w:val="16"/>
        <w:szCs w:val="16"/>
        <w:u w:val="single"/>
      </w:rPr>
      <w:fldChar w:fldCharType="begin"/>
    </w:r>
    <w:r w:rsidRPr="00131FEC">
      <w:rPr>
        <w:rFonts w:ascii="Verdana" w:hAnsi="Verdana"/>
        <w:color w:val="000000" w:themeColor="text1"/>
        <w:sz w:val="16"/>
        <w:szCs w:val="16"/>
        <w:u w:val="single"/>
      </w:rPr>
      <w:instrText xml:space="preserve"> NUMPAGES </w:instrText>
    </w:r>
    <w:r w:rsidRPr="00131FEC">
      <w:rPr>
        <w:rFonts w:ascii="Verdana" w:hAnsi="Verdana"/>
        <w:color w:val="000000" w:themeColor="text1"/>
        <w:sz w:val="16"/>
        <w:szCs w:val="16"/>
        <w:u w:val="single"/>
      </w:rPr>
      <w:fldChar w:fldCharType="separate"/>
    </w:r>
    <w:r w:rsidR="00A90173">
      <w:rPr>
        <w:rFonts w:ascii="Verdana" w:hAnsi="Verdana"/>
        <w:noProof/>
        <w:color w:val="000000" w:themeColor="text1"/>
        <w:sz w:val="16"/>
        <w:szCs w:val="16"/>
        <w:u w:val="single"/>
      </w:rPr>
      <w:t>4</w:t>
    </w:r>
    <w:r w:rsidRPr="00131FEC">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A2BF" w14:textId="77777777" w:rsidR="00E45ABC" w:rsidRDefault="00E45ABC">
      <w:r>
        <w:separator/>
      </w:r>
    </w:p>
  </w:footnote>
  <w:footnote w:type="continuationSeparator" w:id="0">
    <w:p w14:paraId="7B9CF552" w14:textId="77777777" w:rsidR="00E45ABC" w:rsidRDefault="00E4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1B8A" w14:textId="77777777" w:rsidR="00666354" w:rsidRDefault="006663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3E52" w14:textId="77777777" w:rsidR="00F0790A" w:rsidRDefault="00901D4E" w:rsidP="00F1550F">
    <w:r>
      <w:rPr>
        <w:noProof/>
        <w:color w:val="A6A6A6" w:themeColor="background1" w:themeShade="A6"/>
        <w:lang w:eastAsia="de-DE"/>
      </w:rPr>
      <w:drawing>
        <wp:inline distT="0" distB="0" distL="0" distR="0" wp14:anchorId="18145DE1" wp14:editId="60624539">
          <wp:extent cx="2904324" cy="315623"/>
          <wp:effectExtent l="0" t="0" r="4445" b="1905"/>
          <wp:docPr id="13"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3DDE9D7D" w14:textId="77777777" w:rsidR="00F1550F" w:rsidRPr="00800BD8" w:rsidRDefault="00F1550F" w:rsidP="00F1550F"/>
  <w:p w14:paraId="204CAC1D" w14:textId="77777777" w:rsidR="00901D4E" w:rsidRDefault="00901D4E" w:rsidP="00F1550F">
    <w:pPr>
      <w:tabs>
        <w:tab w:val="left" w:pos="5954"/>
      </w:tabs>
      <w:ind w:right="-7"/>
      <w:rPr>
        <w:rFonts w:ascii="Verdana" w:hAnsi="Verdana"/>
        <w:b/>
        <w:bCs/>
      </w:rPr>
    </w:pPr>
  </w:p>
  <w:p w14:paraId="457492E6" w14:textId="6F46BEBC" w:rsidR="00930ACB" w:rsidRPr="00177607" w:rsidRDefault="00177607" w:rsidP="00177607">
    <w:pPr>
      <w:spacing w:line="300" w:lineRule="auto"/>
      <w:rPr>
        <w:rFonts w:ascii="Verdana" w:hAnsi="Verdana" w:cstheme="minorHAnsi"/>
        <w:b/>
      </w:rPr>
    </w:pPr>
    <w:r w:rsidRPr="00AC1DC9">
      <w:rPr>
        <w:rFonts w:ascii="Verdana" w:hAnsi="Verdana" w:cstheme="minorHAnsi"/>
        <w:b/>
      </w:rPr>
      <w:t>DIE DEUTSCHE EU-RATSPRÄSIDENTSCHAFT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73F9" w14:textId="77777777" w:rsidR="00666354" w:rsidRDefault="006663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C50DC"/>
    <w:multiLevelType w:val="hybridMultilevel"/>
    <w:tmpl w:val="ACCA5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0562A55"/>
    <w:multiLevelType w:val="hybridMultilevel"/>
    <w:tmpl w:val="8DDE05E0"/>
    <w:lvl w:ilvl="0" w:tplc="9DAC6C4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C726427"/>
    <w:multiLevelType w:val="hybridMultilevel"/>
    <w:tmpl w:val="08D403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F390AB9"/>
    <w:multiLevelType w:val="hybridMultilevel"/>
    <w:tmpl w:val="D026C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3C1561"/>
    <w:multiLevelType w:val="hybridMultilevel"/>
    <w:tmpl w:val="B668578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0A86194"/>
    <w:multiLevelType w:val="hybridMultilevel"/>
    <w:tmpl w:val="D5721F56"/>
    <w:lvl w:ilvl="0" w:tplc="04070001">
      <w:start w:val="1"/>
      <w:numFmt w:val="bullet"/>
      <w:lvlText w:val=""/>
      <w:lvlJc w:val="left"/>
      <w:pPr>
        <w:ind w:left="360" w:hanging="360"/>
      </w:pPr>
      <w:rPr>
        <w:rFonts w:ascii="Symbol" w:hAnsi="Symbol" w:hint="default"/>
      </w:rPr>
    </w:lvl>
    <w:lvl w:ilvl="1" w:tplc="67882B6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AED173B"/>
    <w:multiLevelType w:val="hybridMultilevel"/>
    <w:tmpl w:val="D494E1B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3"/>
  </w:num>
  <w:num w:numId="4">
    <w:abstractNumId w:val="13"/>
  </w:num>
  <w:num w:numId="5">
    <w:abstractNumId w:val="4"/>
  </w:num>
  <w:num w:numId="6">
    <w:abstractNumId w:val="9"/>
  </w:num>
  <w:num w:numId="7">
    <w:abstractNumId w:val="24"/>
  </w:num>
  <w:num w:numId="8">
    <w:abstractNumId w:val="12"/>
  </w:num>
  <w:num w:numId="9">
    <w:abstractNumId w:val="20"/>
  </w:num>
  <w:num w:numId="10">
    <w:abstractNumId w:val="23"/>
  </w:num>
  <w:num w:numId="11">
    <w:abstractNumId w:val="11"/>
  </w:num>
  <w:num w:numId="12">
    <w:abstractNumId w:val="19"/>
  </w:num>
  <w:num w:numId="13">
    <w:abstractNumId w:val="21"/>
  </w:num>
  <w:num w:numId="14">
    <w:abstractNumId w:val="5"/>
  </w:num>
  <w:num w:numId="15">
    <w:abstractNumId w:val="10"/>
  </w:num>
  <w:num w:numId="16">
    <w:abstractNumId w:val="17"/>
  </w:num>
  <w:num w:numId="17">
    <w:abstractNumId w:val="0"/>
  </w:num>
  <w:num w:numId="18">
    <w:abstractNumId w:val="6"/>
  </w:num>
  <w:num w:numId="19">
    <w:abstractNumId w:val="7"/>
  </w:num>
  <w:num w:numId="20">
    <w:abstractNumId w:val="2"/>
  </w:num>
  <w:num w:numId="21">
    <w:abstractNumId w:val="8"/>
  </w:num>
  <w:num w:numId="22">
    <w:abstractNumId w:val="14"/>
  </w:num>
  <w:num w:numId="23">
    <w:abstractNumId w:val="15"/>
  </w:num>
  <w:num w:numId="24">
    <w:abstractNumId w:val="18"/>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D8"/>
    <w:rsid w:val="00004CEF"/>
    <w:rsid w:val="000106E7"/>
    <w:rsid w:val="0003297D"/>
    <w:rsid w:val="00045049"/>
    <w:rsid w:val="000455C4"/>
    <w:rsid w:val="000A385A"/>
    <w:rsid w:val="000D5015"/>
    <w:rsid w:val="000E16CD"/>
    <w:rsid w:val="00104739"/>
    <w:rsid w:val="00105911"/>
    <w:rsid w:val="00131FEC"/>
    <w:rsid w:val="001403F2"/>
    <w:rsid w:val="00142BF0"/>
    <w:rsid w:val="001459B3"/>
    <w:rsid w:val="00177607"/>
    <w:rsid w:val="001A4AC5"/>
    <w:rsid w:val="001B555E"/>
    <w:rsid w:val="001C3610"/>
    <w:rsid w:val="00202B1B"/>
    <w:rsid w:val="0023788C"/>
    <w:rsid w:val="00247720"/>
    <w:rsid w:val="002623D2"/>
    <w:rsid w:val="00271B95"/>
    <w:rsid w:val="002A0E1A"/>
    <w:rsid w:val="002A17F3"/>
    <w:rsid w:val="002B4C12"/>
    <w:rsid w:val="002C008D"/>
    <w:rsid w:val="002C26F5"/>
    <w:rsid w:val="002F25B5"/>
    <w:rsid w:val="00312937"/>
    <w:rsid w:val="00323884"/>
    <w:rsid w:val="00324726"/>
    <w:rsid w:val="003257C9"/>
    <w:rsid w:val="00332584"/>
    <w:rsid w:val="00351277"/>
    <w:rsid w:val="00394C97"/>
    <w:rsid w:val="003A7F06"/>
    <w:rsid w:val="003C16CD"/>
    <w:rsid w:val="003E2E42"/>
    <w:rsid w:val="003E51FA"/>
    <w:rsid w:val="003F26B9"/>
    <w:rsid w:val="00401656"/>
    <w:rsid w:val="00406DFC"/>
    <w:rsid w:val="0043332F"/>
    <w:rsid w:val="004401EA"/>
    <w:rsid w:val="0045489D"/>
    <w:rsid w:val="00485CEF"/>
    <w:rsid w:val="004A144B"/>
    <w:rsid w:val="004A2800"/>
    <w:rsid w:val="004B3E04"/>
    <w:rsid w:val="004D7799"/>
    <w:rsid w:val="004F2CA1"/>
    <w:rsid w:val="0052225A"/>
    <w:rsid w:val="00531C68"/>
    <w:rsid w:val="00554BF4"/>
    <w:rsid w:val="00565AC2"/>
    <w:rsid w:val="00573E7C"/>
    <w:rsid w:val="00574543"/>
    <w:rsid w:val="0057538D"/>
    <w:rsid w:val="00581290"/>
    <w:rsid w:val="00581908"/>
    <w:rsid w:val="005D6190"/>
    <w:rsid w:val="00605A9D"/>
    <w:rsid w:val="006272E0"/>
    <w:rsid w:val="00633A4A"/>
    <w:rsid w:val="00635E04"/>
    <w:rsid w:val="00660329"/>
    <w:rsid w:val="00666354"/>
    <w:rsid w:val="006921B4"/>
    <w:rsid w:val="006C6001"/>
    <w:rsid w:val="006C655F"/>
    <w:rsid w:val="006F12C3"/>
    <w:rsid w:val="006F2896"/>
    <w:rsid w:val="00785E31"/>
    <w:rsid w:val="007B26D6"/>
    <w:rsid w:val="007C32BA"/>
    <w:rsid w:val="007E2D7C"/>
    <w:rsid w:val="007F097F"/>
    <w:rsid w:val="00800156"/>
    <w:rsid w:val="00800BD8"/>
    <w:rsid w:val="008265B2"/>
    <w:rsid w:val="00860A98"/>
    <w:rsid w:val="00865FEE"/>
    <w:rsid w:val="008940E0"/>
    <w:rsid w:val="008C3C04"/>
    <w:rsid w:val="008E10EF"/>
    <w:rsid w:val="008E23CF"/>
    <w:rsid w:val="008E2C66"/>
    <w:rsid w:val="00901D4E"/>
    <w:rsid w:val="00905DDC"/>
    <w:rsid w:val="00911664"/>
    <w:rsid w:val="009224E0"/>
    <w:rsid w:val="00930ACB"/>
    <w:rsid w:val="00934E03"/>
    <w:rsid w:val="00946BB0"/>
    <w:rsid w:val="0095249F"/>
    <w:rsid w:val="00957A5C"/>
    <w:rsid w:val="00961DDF"/>
    <w:rsid w:val="00982F48"/>
    <w:rsid w:val="0098303D"/>
    <w:rsid w:val="009B3454"/>
    <w:rsid w:val="009D3936"/>
    <w:rsid w:val="009D47D4"/>
    <w:rsid w:val="009E0BE6"/>
    <w:rsid w:val="009E75FA"/>
    <w:rsid w:val="009F5789"/>
    <w:rsid w:val="00A12BB8"/>
    <w:rsid w:val="00A21EC9"/>
    <w:rsid w:val="00A264BA"/>
    <w:rsid w:val="00A339D4"/>
    <w:rsid w:val="00A36FD6"/>
    <w:rsid w:val="00A404FB"/>
    <w:rsid w:val="00A57940"/>
    <w:rsid w:val="00A638C2"/>
    <w:rsid w:val="00A90173"/>
    <w:rsid w:val="00AA3748"/>
    <w:rsid w:val="00AB367B"/>
    <w:rsid w:val="00AE4AB0"/>
    <w:rsid w:val="00AF4C85"/>
    <w:rsid w:val="00B06EB7"/>
    <w:rsid w:val="00B162C3"/>
    <w:rsid w:val="00B20822"/>
    <w:rsid w:val="00B22B24"/>
    <w:rsid w:val="00BA4D75"/>
    <w:rsid w:val="00BE466B"/>
    <w:rsid w:val="00BF1C5C"/>
    <w:rsid w:val="00BF4AC0"/>
    <w:rsid w:val="00BF5C3A"/>
    <w:rsid w:val="00C149D8"/>
    <w:rsid w:val="00C75DE6"/>
    <w:rsid w:val="00CA29FE"/>
    <w:rsid w:val="00CC229A"/>
    <w:rsid w:val="00D1287A"/>
    <w:rsid w:val="00D208D1"/>
    <w:rsid w:val="00D208E8"/>
    <w:rsid w:val="00D2374C"/>
    <w:rsid w:val="00D51722"/>
    <w:rsid w:val="00D72360"/>
    <w:rsid w:val="00D82599"/>
    <w:rsid w:val="00D864B1"/>
    <w:rsid w:val="00DB1BFC"/>
    <w:rsid w:val="00E03787"/>
    <w:rsid w:val="00E2276B"/>
    <w:rsid w:val="00E439AB"/>
    <w:rsid w:val="00E45ABC"/>
    <w:rsid w:val="00E50DB4"/>
    <w:rsid w:val="00E522F5"/>
    <w:rsid w:val="00E66775"/>
    <w:rsid w:val="00E668A4"/>
    <w:rsid w:val="00E85D09"/>
    <w:rsid w:val="00E94789"/>
    <w:rsid w:val="00ED2824"/>
    <w:rsid w:val="00EE27A9"/>
    <w:rsid w:val="00EE3602"/>
    <w:rsid w:val="00EF0562"/>
    <w:rsid w:val="00F0790A"/>
    <w:rsid w:val="00F1550F"/>
    <w:rsid w:val="00F23C78"/>
    <w:rsid w:val="00F26126"/>
    <w:rsid w:val="00F26192"/>
    <w:rsid w:val="00F35ECF"/>
    <w:rsid w:val="00F703A5"/>
    <w:rsid w:val="00F72A6C"/>
    <w:rsid w:val="00F734E2"/>
    <w:rsid w:val="00F86938"/>
    <w:rsid w:val="00F901FE"/>
    <w:rsid w:val="00F92E0D"/>
    <w:rsid w:val="00FA57EF"/>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50C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paragraph" w:styleId="StandardWeb">
    <w:name w:val="Normal (Web)"/>
    <w:basedOn w:val="Standard"/>
    <w:uiPriority w:val="99"/>
    <w:unhideWhenUsed/>
    <w:rsid w:val="00860A98"/>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0A98"/>
    <w:rPr>
      <w:b/>
      <w:bCs/>
    </w:rPr>
  </w:style>
  <w:style w:type="table" w:styleId="Tabellenraster">
    <w:name w:val="Table Grid"/>
    <w:basedOn w:val="NormaleTabelle"/>
    <w:uiPriority w:val="59"/>
    <w:rsid w:val="00177607"/>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177607"/>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77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92706">
      <w:bodyDiv w:val="1"/>
      <w:marLeft w:val="0"/>
      <w:marRight w:val="0"/>
      <w:marTop w:val="0"/>
      <w:marBottom w:val="0"/>
      <w:divBdr>
        <w:top w:val="none" w:sz="0" w:space="0" w:color="auto"/>
        <w:left w:val="none" w:sz="0" w:space="0" w:color="auto"/>
        <w:bottom w:val="none" w:sz="0" w:space="0" w:color="auto"/>
        <w:right w:val="none" w:sz="0" w:space="0" w:color="auto"/>
      </w:divBdr>
    </w:div>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 w:id="1683387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s.de/DE/Themen/Soziales-Europa-und-Internationales/Europa/Europaeische-Sozialpolitik/europaeische-sozialpolitik.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uroparl.europa.eu/news/de/headlines/eu-affairs/20170616STO77648/soziales-europa-die-sozialpolitik-der-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pb.de/lernen/themen-im-unterricht/europaeische-un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D029D0-541F-4D6D-87EB-9ECEC141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150D27C1.dotm</Template>
  <TotalTime>0</TotalTime>
  <Pages>4</Pages>
  <Words>1433</Words>
  <Characters>9028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10441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Lier</dc:creator>
  <cp:lastModifiedBy>Donath, Christina   -KS3   BMAS</cp:lastModifiedBy>
  <cp:revision>8</cp:revision>
  <cp:lastPrinted>2019-11-15T16:04:00Z</cp:lastPrinted>
  <dcterms:created xsi:type="dcterms:W3CDTF">2020-06-15T08:32:00Z</dcterms:created>
  <dcterms:modified xsi:type="dcterms:W3CDTF">2020-06-15T11:48:00Z</dcterms:modified>
</cp:coreProperties>
</file>